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36E" w:rsidRPr="00B7036E" w:rsidRDefault="00B7036E" w:rsidP="00B7036E">
      <w:pPr>
        <w:spacing w:before="100" w:beforeAutospacing="1" w:after="100" w:afterAutospacing="1" w:line="240" w:lineRule="auto"/>
        <w:jc w:val="center"/>
        <w:rPr>
          <w:rFonts w:ascii="Arial" w:eastAsia="Times New Roman" w:hAnsi="Arial" w:cs="Arial"/>
          <w:color w:val="000000"/>
          <w:kern w:val="0"/>
          <w:sz w:val="15"/>
          <w:szCs w:val="15"/>
        </w:rPr>
      </w:pPr>
      <w:r w:rsidRPr="00B7036E">
        <w:rPr>
          <w:rFonts w:ascii="Arial" w:eastAsia="Times New Roman" w:hAnsi="Arial" w:cs="Arial"/>
          <w:b/>
          <w:bCs/>
          <w:color w:val="000000"/>
          <w:kern w:val="0"/>
          <w:sz w:val="15"/>
          <w:u w:val="single"/>
        </w:rPr>
        <w:t xml:space="preserve">Credit Card </w:t>
      </w:r>
      <w:proofErr w:type="spellStart"/>
      <w:r w:rsidRPr="00B7036E">
        <w:rPr>
          <w:rFonts w:ascii="Arial" w:eastAsia="Times New Roman" w:hAnsi="Arial" w:cs="Arial"/>
          <w:b/>
          <w:bCs/>
          <w:color w:val="000000"/>
          <w:kern w:val="0"/>
          <w:sz w:val="15"/>
          <w:u w:val="single"/>
        </w:rPr>
        <w:t>Cardmember</w:t>
      </w:r>
      <w:proofErr w:type="spellEnd"/>
      <w:r w:rsidRPr="00B7036E">
        <w:rPr>
          <w:rFonts w:ascii="Arial" w:eastAsia="Times New Roman" w:hAnsi="Arial" w:cs="Arial"/>
          <w:b/>
          <w:bCs/>
          <w:color w:val="000000"/>
          <w:kern w:val="0"/>
          <w:sz w:val="15"/>
          <w:u w:val="single"/>
        </w:rPr>
        <w:t xml:space="preserve"> Account Summary Initial Disclosure</w:t>
      </w:r>
    </w:p>
    <w:p w:rsidR="00B7036E" w:rsidRPr="00B7036E" w:rsidRDefault="00B7036E" w:rsidP="00B7036E">
      <w:pPr>
        <w:spacing w:before="100" w:beforeAutospacing="1" w:after="100" w:afterAutospacing="1" w:line="240" w:lineRule="auto"/>
        <w:jc w:val="center"/>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 xml:space="preserve">The Credit Card </w:t>
      </w:r>
      <w:proofErr w:type="spellStart"/>
      <w:r w:rsidRPr="00B7036E">
        <w:rPr>
          <w:rFonts w:ascii="Arial" w:eastAsia="Times New Roman" w:hAnsi="Arial" w:cs="Arial"/>
          <w:b/>
          <w:bCs/>
          <w:color w:val="000000"/>
          <w:kern w:val="0"/>
          <w:sz w:val="15"/>
        </w:rPr>
        <w:t>Cardmember</w:t>
      </w:r>
      <w:proofErr w:type="spellEnd"/>
      <w:r w:rsidRPr="00B7036E">
        <w:rPr>
          <w:rFonts w:ascii="Arial" w:eastAsia="Times New Roman" w:hAnsi="Arial" w:cs="Arial"/>
          <w:b/>
          <w:bCs/>
          <w:color w:val="000000"/>
          <w:kern w:val="0"/>
          <w:sz w:val="15"/>
        </w:rPr>
        <w:t xml:space="preserve"> Agreement with full Terms and Conditions will arrive with your Wyndham Rewards Earner Card.</w:t>
      </w:r>
      <w:r w:rsidRPr="00B7036E">
        <w:rPr>
          <w:rFonts w:ascii="Arial" w:eastAsia="Times New Roman" w:hAnsi="Arial" w:cs="Arial"/>
          <w:color w:val="000000"/>
          <w:kern w:val="0"/>
          <w:sz w:val="15"/>
          <w:szCs w:val="15"/>
        </w:rPr>
        <w:t> </w:t>
      </w:r>
    </w:p>
    <w:p w:rsidR="00B7036E" w:rsidRPr="00B7036E" w:rsidRDefault="00B7036E" w:rsidP="00B7036E">
      <w:pPr>
        <w:spacing w:before="100" w:beforeAutospacing="1" w:after="100" w:afterAutospacing="1" w:line="240" w:lineRule="auto"/>
        <w:jc w:val="center"/>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Communications are generally available only in English unless otherwise specifically noted. Spanish-speaking customer service is available.</w:t>
      </w:r>
    </w:p>
    <w:tbl>
      <w:tblPr>
        <w:tblW w:w="5000" w:type="pct"/>
        <w:tblCellSpacing w:w="0" w:type="dxa"/>
        <w:tblBorders>
          <w:top w:val="single" w:sz="4" w:space="0" w:color="000000"/>
          <w:left w:val="single" w:sz="2" w:space="0" w:color="000000"/>
          <w:bottom w:val="single" w:sz="4" w:space="0" w:color="000000"/>
          <w:right w:val="single" w:sz="4" w:space="0" w:color="000000"/>
        </w:tblBorders>
        <w:tblCellMar>
          <w:left w:w="0" w:type="dxa"/>
          <w:right w:w="0" w:type="dxa"/>
        </w:tblCellMar>
        <w:tblLook w:val="04A0"/>
      </w:tblPr>
      <w:tblGrid>
        <w:gridCol w:w="2381"/>
        <w:gridCol w:w="7144"/>
      </w:tblGrid>
      <w:tr w:rsidR="00B7036E" w:rsidRPr="00B7036E" w:rsidTr="00B7036E">
        <w:trPr>
          <w:tblCellSpacing w:w="0" w:type="dxa"/>
        </w:trPr>
        <w:tc>
          <w:tcPr>
            <w:tcW w:w="0" w:type="auto"/>
            <w:gridSpan w:val="2"/>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Interest Rates and Interest Charges</w:t>
            </w:r>
          </w:p>
        </w:tc>
      </w:tr>
      <w:tr w:rsidR="00B7036E" w:rsidRPr="00B7036E" w:rsidTr="00B7036E">
        <w:trPr>
          <w:tblCellSpacing w:w="0" w:type="dxa"/>
        </w:trPr>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Annual Percentage Rate (APR) for Purchases</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Autospacing="1" w:after="0" w:afterAutospacing="1" w:line="240" w:lineRule="auto"/>
              <w:ind w:left="480" w:hanging="290"/>
              <w:rPr>
                <w:rFonts w:ascii="Arial" w:eastAsia="Times New Roman" w:hAnsi="Arial" w:cs="Arial"/>
                <w:color w:val="000000"/>
                <w:kern w:val="0"/>
                <w:sz w:val="15"/>
                <w:szCs w:val="15"/>
              </w:rPr>
            </w:pPr>
            <w:r w:rsidRPr="00B7036E">
              <w:rPr>
                <w:rFonts w:ascii="Arial" w:eastAsia="Times New Roman" w:hAnsi="Arial" w:cs="Arial"/>
                <w:b/>
                <w:bCs/>
                <w:color w:val="000000"/>
                <w:kern w:val="0"/>
                <w:sz w:val="26"/>
              </w:rPr>
              <w:t>23.74%</w:t>
            </w:r>
          </w:p>
          <w:p w:rsidR="00B7036E" w:rsidRPr="00B7036E" w:rsidRDefault="00B7036E" w:rsidP="00B7036E">
            <w:pPr>
              <w:spacing w:before="100" w:beforeAutospacing="1" w:after="100" w:afterAutospacing="1" w:line="240" w:lineRule="auto"/>
              <w:ind w:left="290"/>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This APR will vary with the market based on the Prime Rate.</w:t>
            </w:r>
          </w:p>
          <w:p w:rsidR="00B7036E" w:rsidRPr="00B7036E" w:rsidRDefault="00B7036E" w:rsidP="00B7036E">
            <w:pPr>
              <w:spacing w:beforeAutospacing="1" w:after="0" w:afterAutospacing="1" w:line="240" w:lineRule="auto"/>
              <w:ind w:left="480" w:hanging="290"/>
              <w:rPr>
                <w:rFonts w:ascii="Arial" w:eastAsia="Times New Roman" w:hAnsi="Arial" w:cs="Arial"/>
                <w:color w:val="000000"/>
                <w:kern w:val="0"/>
                <w:sz w:val="15"/>
                <w:szCs w:val="15"/>
              </w:rPr>
            </w:pPr>
            <w:r w:rsidRPr="00B7036E">
              <w:rPr>
                <w:rFonts w:ascii="Arial" w:eastAsia="Times New Roman" w:hAnsi="Arial" w:cs="Arial"/>
                <w:b/>
                <w:bCs/>
                <w:color w:val="000000"/>
                <w:kern w:val="0"/>
                <w:sz w:val="26"/>
              </w:rPr>
              <w:t>0%</w:t>
            </w:r>
            <w:r w:rsidRPr="00B7036E">
              <w:rPr>
                <w:rFonts w:ascii="Arial" w:eastAsia="Times New Roman" w:hAnsi="Arial" w:cs="Arial"/>
                <w:color w:val="000000"/>
                <w:kern w:val="0"/>
                <w:sz w:val="15"/>
                <w:szCs w:val="15"/>
              </w:rPr>
              <w:t> APR on all Wyndham Timeshare Purchases (see below) for six billing cycles.</w:t>
            </w:r>
          </w:p>
          <w:p w:rsidR="00B7036E" w:rsidRPr="00B7036E" w:rsidRDefault="00B7036E" w:rsidP="00B7036E">
            <w:pPr>
              <w:spacing w:beforeAutospacing="1" w:after="0" w:afterAutospacing="1" w:line="240" w:lineRule="auto"/>
              <w:ind w:left="290"/>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After that, your APR will be </w:t>
            </w:r>
            <w:r w:rsidRPr="00B7036E">
              <w:rPr>
                <w:rFonts w:ascii="Arial" w:eastAsia="Times New Roman" w:hAnsi="Arial" w:cs="Arial"/>
                <w:b/>
                <w:bCs/>
                <w:color w:val="000000"/>
                <w:kern w:val="0"/>
                <w:sz w:val="26"/>
              </w:rPr>
              <w:t>23.74%</w:t>
            </w:r>
            <w:r w:rsidRPr="00B7036E">
              <w:rPr>
                <w:rFonts w:ascii="Arial" w:eastAsia="Times New Roman" w:hAnsi="Arial" w:cs="Arial"/>
                <w:color w:val="000000"/>
                <w:kern w:val="0"/>
                <w:sz w:val="15"/>
                <w:szCs w:val="15"/>
              </w:rPr>
              <w:t>. This APR will vary with the market based on the Prime Rate. </w:t>
            </w:r>
          </w:p>
        </w:tc>
      </w:tr>
      <w:tr w:rsidR="00B7036E" w:rsidRPr="00B7036E" w:rsidTr="00B7036E">
        <w:trPr>
          <w:tblCellSpacing w:w="0" w:type="dxa"/>
        </w:trPr>
        <w:tc>
          <w:tcPr>
            <w:tcW w:w="1250" w:type="pct"/>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APR for Balance Transfers</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ind w:left="480" w:hanging="290"/>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0%</w:t>
            </w:r>
            <w:r w:rsidRPr="00B7036E">
              <w:rPr>
                <w:rFonts w:ascii="Arial" w:eastAsia="Times New Roman" w:hAnsi="Arial" w:cs="Arial"/>
                <w:color w:val="000000"/>
                <w:kern w:val="0"/>
                <w:sz w:val="15"/>
                <w:szCs w:val="15"/>
              </w:rPr>
              <w:t> introductory APR for the first fifteen billing cycles following each balance transfer that posts to your account within 45 days of account opening.</w:t>
            </w:r>
          </w:p>
          <w:p w:rsidR="00B7036E" w:rsidRPr="00B7036E" w:rsidRDefault="00B7036E" w:rsidP="00B7036E">
            <w:pPr>
              <w:spacing w:before="100" w:beforeAutospacing="1" w:after="100" w:afterAutospacing="1" w:line="240" w:lineRule="auto"/>
              <w:ind w:left="290"/>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xml:space="preserve">After </w:t>
            </w:r>
            <w:proofErr w:type="gramStart"/>
            <w:r w:rsidRPr="00B7036E">
              <w:rPr>
                <w:rFonts w:ascii="Arial" w:eastAsia="Times New Roman" w:hAnsi="Arial" w:cs="Arial"/>
                <w:color w:val="000000"/>
                <w:kern w:val="0"/>
                <w:sz w:val="15"/>
                <w:szCs w:val="15"/>
              </w:rPr>
              <w:t>that,</w:t>
            </w:r>
            <w:proofErr w:type="gramEnd"/>
            <w:r w:rsidRPr="00B7036E">
              <w:rPr>
                <w:rFonts w:ascii="Arial" w:eastAsia="Times New Roman" w:hAnsi="Arial" w:cs="Arial"/>
                <w:color w:val="000000"/>
                <w:kern w:val="0"/>
                <w:sz w:val="15"/>
                <w:szCs w:val="15"/>
              </w:rPr>
              <w:t xml:space="preserve"> (and for balance transfers that do not post within 45 days of account opening) your APR will be </w:t>
            </w:r>
            <w:r w:rsidRPr="00B7036E">
              <w:rPr>
                <w:rFonts w:ascii="Arial" w:eastAsia="Times New Roman" w:hAnsi="Arial" w:cs="Arial"/>
                <w:b/>
                <w:bCs/>
                <w:color w:val="000000"/>
                <w:kern w:val="0"/>
                <w:sz w:val="15"/>
              </w:rPr>
              <w:t>23.74%.</w:t>
            </w:r>
            <w:r w:rsidRPr="00B7036E">
              <w:rPr>
                <w:rFonts w:ascii="Arial" w:eastAsia="Times New Roman" w:hAnsi="Arial" w:cs="Arial"/>
                <w:color w:val="000000"/>
                <w:kern w:val="0"/>
                <w:sz w:val="15"/>
                <w:szCs w:val="15"/>
              </w:rPr>
              <w:t> This APR will vary with the market based on the Prime Rate.</w:t>
            </w:r>
          </w:p>
        </w:tc>
      </w:tr>
      <w:tr w:rsidR="00B7036E" w:rsidRPr="00B7036E" w:rsidTr="00B7036E">
        <w:trPr>
          <w:tblCellSpacing w:w="0" w:type="dxa"/>
        </w:trPr>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APR for Cash Advances</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ind w:left="480" w:hanging="290"/>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28.99%</w:t>
            </w:r>
          </w:p>
          <w:p w:rsidR="00B7036E" w:rsidRPr="00B7036E" w:rsidRDefault="00B7036E" w:rsidP="00B7036E">
            <w:pPr>
              <w:spacing w:before="100" w:beforeAutospacing="1" w:after="100" w:afterAutospacing="1" w:line="240" w:lineRule="auto"/>
              <w:ind w:left="290"/>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This APR will vary with the market based on the Prime Rate.</w:t>
            </w:r>
          </w:p>
        </w:tc>
      </w:tr>
      <w:tr w:rsidR="00B7036E" w:rsidRPr="00B7036E" w:rsidTr="00B7036E">
        <w:trPr>
          <w:tblCellSpacing w:w="0" w:type="dxa"/>
        </w:trPr>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Paying Interest</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Your due date is at least 23 days after the close of each billing cycle. We will not charge you interest on purchases if you pay your entire balance by the due date each month. We will begin charging interest on balance transfers and cash advances on the transactional date.</w:t>
            </w:r>
          </w:p>
          <w:p w:rsidR="00B7036E" w:rsidRPr="00B7036E" w:rsidRDefault="00B7036E" w:rsidP="00B7036E">
            <w:pPr>
              <w:spacing w:after="0" w:line="240" w:lineRule="auto"/>
              <w:rPr>
                <w:rFonts w:ascii="Helvetica" w:eastAsia="Times New Roman" w:hAnsi="Helvetica" w:cs="Helvetica"/>
                <w:color w:val="000000"/>
                <w:kern w:val="0"/>
                <w:sz w:val="15"/>
                <w:szCs w:val="15"/>
              </w:rPr>
            </w:pPr>
            <w:r w:rsidRPr="00B7036E">
              <w:rPr>
                <w:rFonts w:ascii="Helvetica" w:eastAsia="Times New Roman" w:hAnsi="Helvetica" w:cs="Helvetica"/>
                <w:color w:val="000000"/>
                <w:kern w:val="0"/>
                <w:sz w:val="15"/>
                <w:szCs w:val="15"/>
              </w:rPr>
              <w:t> </w:t>
            </w:r>
          </w:p>
        </w:tc>
      </w:tr>
      <w:tr w:rsidR="00B7036E" w:rsidRPr="00B7036E" w:rsidTr="00B7036E">
        <w:trPr>
          <w:tblCellSpacing w:w="0" w:type="dxa"/>
        </w:trPr>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Minimum Interest Charge</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 are charged interest, the charge will be no less than $0.50</w:t>
            </w:r>
          </w:p>
        </w:tc>
      </w:tr>
      <w:tr w:rsidR="00B7036E" w:rsidRPr="00B7036E" w:rsidTr="00B7036E">
        <w:trPr>
          <w:tblCellSpacing w:w="0" w:type="dxa"/>
        </w:trPr>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For Credit Card Tips from the Consumer Financial Protection Bureau</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To learn more about factors to consider when applying for or using a credit card, visit the website of the Consumer Financial Protection Bureau at </w:t>
            </w:r>
            <w:hyperlink r:id="rId5" w:history="1">
              <w:r w:rsidRPr="00B7036E">
                <w:rPr>
                  <w:rFonts w:ascii="Arial" w:eastAsia="Times New Roman" w:hAnsi="Arial" w:cs="Arial"/>
                  <w:b/>
                  <w:bCs/>
                  <w:color w:val="54558E"/>
                  <w:kern w:val="0"/>
                  <w:sz w:val="15"/>
                  <w:u w:val="single"/>
                </w:rPr>
                <w:t>http://www.consumerfinance.gov/learnmore</w:t>
              </w:r>
            </w:hyperlink>
            <w:r w:rsidRPr="00B7036E">
              <w:rPr>
                <w:rFonts w:ascii="Arial" w:eastAsia="Times New Roman" w:hAnsi="Arial" w:cs="Arial"/>
                <w:b/>
                <w:bCs/>
                <w:color w:val="000000"/>
                <w:kern w:val="0"/>
                <w:sz w:val="15"/>
              </w:rPr>
              <w:t>. </w:t>
            </w:r>
          </w:p>
        </w:tc>
      </w:tr>
    </w:tbl>
    <w:p w:rsidR="00B7036E" w:rsidRPr="00B7036E" w:rsidRDefault="00B7036E" w:rsidP="00B7036E">
      <w:pPr>
        <w:spacing w:before="100" w:beforeAutospacing="1" w:after="100" w:afterAutospacing="1" w:line="240" w:lineRule="auto"/>
        <w:jc w:val="center"/>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br/>
        <w:t> </w:t>
      </w:r>
    </w:p>
    <w:tbl>
      <w:tblPr>
        <w:tblW w:w="5000" w:type="pct"/>
        <w:tblCellSpacing w:w="0" w:type="dxa"/>
        <w:tblBorders>
          <w:top w:val="single" w:sz="4" w:space="0" w:color="000000"/>
          <w:left w:val="single" w:sz="2" w:space="0" w:color="000000"/>
          <w:bottom w:val="single" w:sz="4" w:space="0" w:color="000000"/>
          <w:right w:val="single" w:sz="4" w:space="0" w:color="000000"/>
        </w:tblBorders>
        <w:tblCellMar>
          <w:left w:w="0" w:type="dxa"/>
          <w:right w:w="0" w:type="dxa"/>
        </w:tblCellMar>
        <w:tblLook w:val="04A0"/>
      </w:tblPr>
      <w:tblGrid>
        <w:gridCol w:w="2381"/>
        <w:gridCol w:w="7144"/>
      </w:tblGrid>
      <w:tr w:rsidR="00B7036E" w:rsidRPr="00B7036E" w:rsidTr="00B7036E">
        <w:trPr>
          <w:tblCellSpacing w:w="0" w:type="dxa"/>
        </w:trPr>
        <w:tc>
          <w:tcPr>
            <w:tcW w:w="0" w:type="auto"/>
            <w:gridSpan w:val="2"/>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Fees</w:t>
            </w:r>
          </w:p>
        </w:tc>
      </w:tr>
      <w:tr w:rsidR="00B7036E" w:rsidRPr="00B7036E" w:rsidTr="00B7036E">
        <w:trPr>
          <w:tblCellSpacing w:w="0" w:type="dxa"/>
        </w:trPr>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Annual Fee</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$0 </w:t>
            </w:r>
          </w:p>
        </w:tc>
      </w:tr>
      <w:tr w:rsidR="00B7036E" w:rsidRPr="00B7036E" w:rsidTr="00B7036E">
        <w:trPr>
          <w:tblCellSpacing w:w="0" w:type="dxa"/>
        </w:trPr>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Transaction Fees</w:t>
            </w:r>
            <w:r w:rsidRPr="00B7036E">
              <w:rPr>
                <w:rFonts w:ascii="Arial" w:eastAsia="Times New Roman" w:hAnsi="Arial" w:cs="Arial"/>
                <w:color w:val="000000"/>
                <w:kern w:val="0"/>
                <w:sz w:val="15"/>
                <w:szCs w:val="15"/>
              </w:rPr>
              <w:t>:</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w:t>
            </w:r>
          </w:p>
        </w:tc>
      </w:tr>
      <w:tr w:rsidR="00B7036E" w:rsidRPr="00B7036E" w:rsidTr="00B7036E">
        <w:trPr>
          <w:tblCellSpacing w:w="0" w:type="dxa"/>
        </w:trPr>
        <w:tc>
          <w:tcPr>
            <w:tcW w:w="0" w:type="auto"/>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numPr>
                <w:ilvl w:val="0"/>
                <w:numId w:val="1"/>
              </w:numPr>
              <w:spacing w:before="100" w:beforeAutospacing="1" w:after="100" w:afterAutospacing="1" w:line="240" w:lineRule="auto"/>
              <w:rPr>
                <w:rFonts w:ascii="Helvetica" w:eastAsia="Times New Roman" w:hAnsi="Helvetica" w:cs="Helvetica"/>
                <w:color w:val="000000"/>
                <w:kern w:val="0"/>
                <w:sz w:val="15"/>
                <w:szCs w:val="15"/>
              </w:rPr>
            </w:pPr>
            <w:r w:rsidRPr="00B7036E">
              <w:rPr>
                <w:rFonts w:ascii="Helvetica" w:eastAsia="Times New Roman" w:hAnsi="Helvetica" w:cs="Helvetica"/>
                <w:color w:val="000000"/>
                <w:kern w:val="0"/>
                <w:sz w:val="15"/>
                <w:szCs w:val="15"/>
              </w:rPr>
              <w:t>Balance Transfer</w:t>
            </w:r>
          </w:p>
        </w:tc>
        <w:tc>
          <w:tcPr>
            <w:tcW w:w="0" w:type="auto"/>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Either </w:t>
            </w:r>
            <w:r w:rsidRPr="00B7036E">
              <w:rPr>
                <w:rFonts w:ascii="Arial" w:eastAsia="Times New Roman" w:hAnsi="Arial" w:cs="Arial"/>
                <w:b/>
                <w:bCs/>
                <w:color w:val="000000"/>
                <w:kern w:val="0"/>
                <w:sz w:val="15"/>
              </w:rPr>
              <w:t>$5</w:t>
            </w:r>
            <w:r w:rsidRPr="00B7036E">
              <w:rPr>
                <w:rFonts w:ascii="Arial" w:eastAsia="Times New Roman" w:hAnsi="Arial" w:cs="Arial"/>
                <w:color w:val="000000"/>
                <w:kern w:val="0"/>
                <w:sz w:val="15"/>
                <w:szCs w:val="15"/>
              </w:rPr>
              <w:t> or </w:t>
            </w:r>
            <w:r w:rsidRPr="00B7036E">
              <w:rPr>
                <w:rFonts w:ascii="Arial" w:eastAsia="Times New Roman" w:hAnsi="Arial" w:cs="Arial"/>
                <w:b/>
                <w:bCs/>
                <w:color w:val="000000"/>
                <w:kern w:val="0"/>
                <w:sz w:val="15"/>
              </w:rPr>
              <w:t>3%</w:t>
            </w:r>
            <w:r w:rsidRPr="00B7036E">
              <w:rPr>
                <w:rFonts w:ascii="Arial" w:eastAsia="Times New Roman" w:hAnsi="Arial" w:cs="Arial"/>
                <w:color w:val="000000"/>
                <w:kern w:val="0"/>
                <w:sz w:val="15"/>
                <w:szCs w:val="15"/>
              </w:rPr>
              <w:t> of the amount of each transfer, whichever is greater.</w:t>
            </w:r>
          </w:p>
        </w:tc>
      </w:tr>
      <w:tr w:rsidR="00B7036E" w:rsidRPr="00B7036E" w:rsidTr="00B7036E">
        <w:trPr>
          <w:tblCellSpacing w:w="0" w:type="dxa"/>
        </w:trPr>
        <w:tc>
          <w:tcPr>
            <w:tcW w:w="0" w:type="auto"/>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numPr>
                <w:ilvl w:val="0"/>
                <w:numId w:val="2"/>
              </w:numPr>
              <w:spacing w:before="100" w:beforeAutospacing="1" w:after="100" w:afterAutospacing="1" w:line="240" w:lineRule="auto"/>
              <w:rPr>
                <w:rFonts w:ascii="Helvetica" w:eastAsia="Times New Roman" w:hAnsi="Helvetica" w:cs="Helvetica"/>
                <w:color w:val="000000"/>
                <w:kern w:val="0"/>
                <w:sz w:val="15"/>
                <w:szCs w:val="15"/>
              </w:rPr>
            </w:pPr>
            <w:r w:rsidRPr="00B7036E">
              <w:rPr>
                <w:rFonts w:ascii="Helvetica" w:eastAsia="Times New Roman" w:hAnsi="Helvetica" w:cs="Helvetica"/>
                <w:color w:val="000000"/>
                <w:kern w:val="0"/>
                <w:sz w:val="15"/>
                <w:szCs w:val="15"/>
              </w:rPr>
              <w:t>Cash Advance</w:t>
            </w:r>
          </w:p>
        </w:tc>
        <w:tc>
          <w:tcPr>
            <w:tcW w:w="0" w:type="auto"/>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Either </w:t>
            </w:r>
            <w:r w:rsidRPr="00B7036E">
              <w:rPr>
                <w:rFonts w:ascii="Arial" w:eastAsia="Times New Roman" w:hAnsi="Arial" w:cs="Arial"/>
                <w:b/>
                <w:bCs/>
                <w:color w:val="000000"/>
                <w:kern w:val="0"/>
                <w:sz w:val="15"/>
              </w:rPr>
              <w:t>$10</w:t>
            </w:r>
            <w:r w:rsidRPr="00B7036E">
              <w:rPr>
                <w:rFonts w:ascii="Arial" w:eastAsia="Times New Roman" w:hAnsi="Arial" w:cs="Arial"/>
                <w:color w:val="000000"/>
                <w:kern w:val="0"/>
                <w:sz w:val="15"/>
                <w:szCs w:val="15"/>
              </w:rPr>
              <w:t> or </w:t>
            </w:r>
            <w:r w:rsidRPr="00B7036E">
              <w:rPr>
                <w:rFonts w:ascii="Arial" w:eastAsia="Times New Roman" w:hAnsi="Arial" w:cs="Arial"/>
                <w:b/>
                <w:bCs/>
                <w:color w:val="000000"/>
                <w:kern w:val="0"/>
                <w:sz w:val="15"/>
              </w:rPr>
              <w:t>5%</w:t>
            </w:r>
            <w:r w:rsidRPr="00B7036E">
              <w:rPr>
                <w:rFonts w:ascii="Arial" w:eastAsia="Times New Roman" w:hAnsi="Arial" w:cs="Arial"/>
                <w:color w:val="000000"/>
                <w:kern w:val="0"/>
                <w:sz w:val="15"/>
                <w:szCs w:val="15"/>
              </w:rPr>
              <w:t> of the amount of each cash advance, whichever is greater.</w:t>
            </w:r>
          </w:p>
        </w:tc>
      </w:tr>
      <w:tr w:rsidR="00B7036E" w:rsidRPr="00B7036E" w:rsidTr="00B7036E">
        <w:trPr>
          <w:tblCellSpacing w:w="0" w:type="dxa"/>
        </w:trPr>
        <w:tc>
          <w:tcPr>
            <w:tcW w:w="0" w:type="auto"/>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numPr>
                <w:ilvl w:val="0"/>
                <w:numId w:val="3"/>
              </w:numPr>
              <w:spacing w:before="100" w:beforeAutospacing="1" w:after="100" w:afterAutospacing="1" w:line="240" w:lineRule="auto"/>
              <w:rPr>
                <w:rFonts w:ascii="Helvetica" w:eastAsia="Times New Roman" w:hAnsi="Helvetica" w:cs="Helvetica"/>
                <w:color w:val="000000"/>
                <w:kern w:val="0"/>
                <w:sz w:val="15"/>
                <w:szCs w:val="15"/>
              </w:rPr>
            </w:pPr>
            <w:r w:rsidRPr="00B7036E">
              <w:rPr>
                <w:rFonts w:ascii="Helvetica" w:eastAsia="Times New Roman" w:hAnsi="Helvetica" w:cs="Helvetica"/>
                <w:color w:val="000000"/>
                <w:kern w:val="0"/>
                <w:sz w:val="15"/>
                <w:szCs w:val="15"/>
              </w:rPr>
              <w:t>Foreign Transaction</w:t>
            </w:r>
          </w:p>
        </w:tc>
        <w:tc>
          <w:tcPr>
            <w:tcW w:w="0" w:type="auto"/>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0%</w:t>
            </w:r>
            <w:r w:rsidRPr="00B7036E">
              <w:rPr>
                <w:rFonts w:ascii="Arial" w:eastAsia="Times New Roman" w:hAnsi="Arial" w:cs="Arial"/>
                <w:color w:val="000000"/>
                <w:kern w:val="0"/>
                <w:sz w:val="15"/>
                <w:szCs w:val="15"/>
              </w:rPr>
              <w:t> of each transaction in U.S. dollars.</w:t>
            </w:r>
          </w:p>
        </w:tc>
      </w:tr>
      <w:tr w:rsidR="00B7036E" w:rsidRPr="00B7036E" w:rsidTr="00B7036E">
        <w:trPr>
          <w:tblCellSpacing w:w="0" w:type="dxa"/>
        </w:trPr>
        <w:tc>
          <w:tcPr>
            <w:tcW w:w="1250" w:type="pct"/>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Penalty Fees:</w:t>
            </w:r>
          </w:p>
        </w:tc>
        <w:tc>
          <w:tcPr>
            <w:tcW w:w="0" w:type="auto"/>
            <w:tcBorders>
              <w:top w:val="single" w:sz="4"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w:t>
            </w:r>
          </w:p>
        </w:tc>
      </w:tr>
      <w:tr w:rsidR="00B7036E" w:rsidRPr="00B7036E" w:rsidTr="00B7036E">
        <w:trPr>
          <w:tblCellSpacing w:w="0" w:type="dxa"/>
        </w:trPr>
        <w:tc>
          <w:tcPr>
            <w:tcW w:w="1250" w:type="pct"/>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numPr>
                <w:ilvl w:val="0"/>
                <w:numId w:val="4"/>
              </w:numPr>
              <w:spacing w:before="100" w:beforeAutospacing="1" w:after="100" w:afterAutospacing="1" w:line="240" w:lineRule="auto"/>
              <w:rPr>
                <w:rFonts w:ascii="Helvetica" w:eastAsia="Times New Roman" w:hAnsi="Helvetica" w:cs="Helvetica"/>
                <w:color w:val="000000"/>
                <w:kern w:val="0"/>
                <w:sz w:val="15"/>
                <w:szCs w:val="15"/>
              </w:rPr>
            </w:pPr>
            <w:r w:rsidRPr="00B7036E">
              <w:rPr>
                <w:rFonts w:ascii="Helvetica" w:eastAsia="Times New Roman" w:hAnsi="Helvetica" w:cs="Helvetica"/>
                <w:color w:val="000000"/>
                <w:kern w:val="0"/>
                <w:sz w:val="15"/>
                <w:szCs w:val="15"/>
              </w:rPr>
              <w:lastRenderedPageBreak/>
              <w:t>Late Payment</w:t>
            </w:r>
          </w:p>
        </w:tc>
        <w:tc>
          <w:tcPr>
            <w:tcW w:w="0" w:type="auto"/>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Up to </w:t>
            </w:r>
            <w:r w:rsidRPr="00B7036E">
              <w:rPr>
                <w:rFonts w:ascii="Arial" w:eastAsia="Times New Roman" w:hAnsi="Arial" w:cs="Arial"/>
                <w:b/>
                <w:bCs/>
                <w:color w:val="000000"/>
                <w:kern w:val="0"/>
                <w:sz w:val="15"/>
              </w:rPr>
              <w:t>$40</w:t>
            </w:r>
            <w:r w:rsidRPr="00B7036E">
              <w:rPr>
                <w:rFonts w:ascii="Arial" w:eastAsia="Times New Roman" w:hAnsi="Arial" w:cs="Arial"/>
                <w:color w:val="000000"/>
                <w:kern w:val="0"/>
                <w:sz w:val="15"/>
                <w:szCs w:val="15"/>
              </w:rPr>
              <w:t>   </w:t>
            </w:r>
          </w:p>
        </w:tc>
      </w:tr>
      <w:tr w:rsidR="00B7036E" w:rsidRPr="00B7036E" w:rsidTr="00B7036E">
        <w:trPr>
          <w:tblCellSpacing w:w="0" w:type="dxa"/>
        </w:trPr>
        <w:tc>
          <w:tcPr>
            <w:tcW w:w="1250" w:type="pct"/>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numPr>
                <w:ilvl w:val="0"/>
                <w:numId w:val="5"/>
              </w:numPr>
              <w:spacing w:before="100" w:beforeAutospacing="1" w:after="100" w:afterAutospacing="1" w:line="240" w:lineRule="auto"/>
              <w:rPr>
                <w:rFonts w:ascii="Helvetica" w:eastAsia="Times New Roman" w:hAnsi="Helvetica" w:cs="Helvetica"/>
                <w:color w:val="000000"/>
                <w:kern w:val="0"/>
                <w:sz w:val="15"/>
                <w:szCs w:val="15"/>
              </w:rPr>
            </w:pPr>
            <w:r w:rsidRPr="00B7036E">
              <w:rPr>
                <w:rFonts w:ascii="Helvetica" w:eastAsia="Times New Roman" w:hAnsi="Helvetica" w:cs="Helvetica"/>
                <w:color w:val="000000"/>
                <w:kern w:val="0"/>
                <w:sz w:val="15"/>
                <w:szCs w:val="15"/>
              </w:rPr>
              <w:t>Returned Payment</w:t>
            </w:r>
          </w:p>
        </w:tc>
        <w:tc>
          <w:tcPr>
            <w:tcW w:w="0" w:type="auto"/>
            <w:tcBorders>
              <w:top w:val="single" w:sz="2" w:space="0" w:color="000000"/>
              <w:left w:val="single" w:sz="4" w:space="0" w:color="000000"/>
              <w:bottom w:val="single" w:sz="2" w:space="0" w:color="000000"/>
              <w:right w:val="outset" w:sz="6" w:space="0" w:color="auto"/>
            </w:tcBorders>
            <w:tcMar>
              <w:top w:w="70" w:type="dxa"/>
              <w:left w:w="70" w:type="dxa"/>
              <w:bottom w:w="70" w:type="dxa"/>
              <w:right w:w="70" w:type="dxa"/>
            </w:tcMar>
            <w:hideMark/>
          </w:tcPr>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Up to </w:t>
            </w:r>
            <w:r w:rsidRPr="00B7036E">
              <w:rPr>
                <w:rFonts w:ascii="Arial" w:eastAsia="Times New Roman" w:hAnsi="Arial" w:cs="Arial"/>
                <w:b/>
                <w:bCs/>
                <w:color w:val="000000"/>
                <w:kern w:val="0"/>
                <w:sz w:val="15"/>
              </w:rPr>
              <w:t>$40</w:t>
            </w:r>
            <w:r w:rsidRPr="00B7036E">
              <w:rPr>
                <w:rFonts w:ascii="Arial" w:eastAsia="Times New Roman" w:hAnsi="Arial" w:cs="Arial"/>
                <w:color w:val="000000"/>
                <w:kern w:val="0"/>
                <w:sz w:val="15"/>
                <w:szCs w:val="15"/>
              </w:rPr>
              <w:t>  </w:t>
            </w:r>
          </w:p>
        </w:tc>
      </w:tr>
    </w:tbl>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How We Will Calculate Your Balance:</w:t>
      </w:r>
      <w:r w:rsidRPr="00B7036E">
        <w:rPr>
          <w:rFonts w:ascii="Arial" w:eastAsia="Times New Roman" w:hAnsi="Arial" w:cs="Arial"/>
          <w:color w:val="000000"/>
          <w:kern w:val="0"/>
          <w:sz w:val="15"/>
          <w:szCs w:val="15"/>
        </w:rPr>
        <w:t xml:space="preserve"> We use a method called “daily balance (including new purchases)”. See your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 for more details.  </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Billing Rights:</w:t>
      </w:r>
      <w:r w:rsidRPr="00B7036E">
        <w:rPr>
          <w:rFonts w:ascii="Arial" w:eastAsia="Times New Roman" w:hAnsi="Arial" w:cs="Arial"/>
          <w:color w:val="000000"/>
          <w:kern w:val="0"/>
          <w:sz w:val="15"/>
          <w:szCs w:val="15"/>
        </w:rPr>
        <w:t xml:space="preserve">  Information on your rights to dispute transactions and how to exercise those rights is provided in your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w:t>
      </w:r>
      <w:proofErr w:type="gramEnd"/>
    </w:p>
    <w:p w:rsidR="00B7036E" w:rsidRPr="00B7036E" w:rsidRDefault="00B7036E" w:rsidP="00B7036E">
      <w:pPr>
        <w:spacing w:after="0" w:line="240" w:lineRule="auto"/>
        <w:rPr>
          <w:rFonts w:ascii="Times New Roman" w:eastAsia="Times New Roman" w:hAnsi="Times New Roman" w:cs="Times New Roman"/>
          <w:kern w:val="0"/>
          <w:sz w:val="24"/>
          <w:szCs w:val="24"/>
        </w:rPr>
      </w:pPr>
      <w:r w:rsidRPr="00B7036E">
        <w:rPr>
          <w:rFonts w:ascii="Times New Roman" w:eastAsia="Times New Roman" w:hAnsi="Times New Roman" w:cs="Times New Roman"/>
          <w:kern w:val="0"/>
          <w:sz w:val="24"/>
          <w:szCs w:val="24"/>
        </w:rPr>
        <w:pict>
          <v:rect id="_x0000_i1025" style="width:0;height:.6pt" o:hrstd="t" o:hr="t" fillcolor="#a0a0a0" stroked="f"/>
        </w:pic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u w:val="single"/>
        </w:rPr>
        <w:t>CARDMEMBER AGREEMENT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Introduction.</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 xml:space="preserve">This Agreement and your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 establish the terms of your credit card Account ("Account") with Barclays Bank Delaware, Wilmington, Delaware. Please review all such documents carefully and keep with your records.  All extensions of credit in connection with your Account are being made by Barclays Bank Delaware in Wilmington, Delaware.</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Using Your Account/Acceptance of These Terms.</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You do not need to accept the Account and this Agreement and none of the fees on this Account (except as otherwise provided herein) will apply unless you use the Account.  If your Account has an Annual Fee (see the Account Summary Table to determine if this Account has an Annual Fee) and provided that you have not otherwise used the Account to make a Purchase, Balance Transfer or Cash Advance or paid the Annual Fee, you may close the Account within thirty days after Account opening by contacting us at the number on the back of your Card, and if you do, you will not be responsible for paying the Annual Fee.  By signing, keeping, using or otherwise accepting your Card or Account, you agree to the terms and conditions of this Agreement.  You may obtain credit in the form of Purchases, Balance Transfers and Cash Advances by using your Card, your account number, Checks, or other credit devices.  You agree that we may credit your Account rather than issue cash refunds when you reverse transactions that were originally charged to your Account. You agree that you will not use your Card or Account in connection with any transaction that is prohibited or unenforceable and that if you do engage in such a transaction you waive any claim that the charge is uncollectible on the grounds the transaction was prohibited or unenforceable. The Card must be returned to us upon request. We may replace your Card with another Card at anytime. </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Definitions.</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If we use a capitalized term in this document but we do not define the term in this document, the term has the meaning as used in your monthly statement.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and "your" refer to each person who has applied for, accepted, or used the Account and each person who has agreed to be responsible for the Account.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“We”, "us" and "our" refer to Barclays Bank Delaware ("Barclays").</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The “Wyndham Timeshare Purchase” means all Wyndham qualifying timeshare down payments.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Easy Pay Promotional Offers.</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From time to time we may, at our option, make certain special promotional offers available for certain types of Purchases ("Easy Pay Offers"). Details of the APR and the promotional repayment terms for any available Easy Pay Offer will be described in the specific offer. For Easy Pay Offers, the minimum payments during the Easy Pay Offer term are designed to pay the promotional balance in full at the end of the promotional repayment term if on-time payments are made. Payments are calculated by adding the promotional Purchase balance at the time the Purchase is enrolled in the Easy Pay Offer (each an "Easy Pay Balance") and the amount of projected interest that would accrue on the Easy Pay Balance during the promotional repayment term at the applicable APR if only on-time minimum payments are made. This amount is then divided by the number of months in the promotional period and rounded up to the next dollar (each an "Easy Pay Payment Amount").</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Enrollment of the eligible Purchase in the Easy Pay Offer may take up to 24 to 72 hours after you have accepted the Easy Pay Offer. Prior to enrollment the then current non-promotional APR may be applied to the applicable purchase from the transaction date until the actual enrollment date if in that billing cycle you incur interest charges on Purchases.</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 do not make each required Easy Pay Payment Amount on time during the repayment period and/or there is a remaining Easy Pay Balance at the end of the promotional term, this remaining balance will become part of the Principal Balance and will (</w:t>
      </w:r>
      <w:proofErr w:type="spellStart"/>
      <w:r w:rsidRPr="00B7036E">
        <w:rPr>
          <w:rFonts w:ascii="Arial" w:eastAsia="Times New Roman" w:hAnsi="Arial" w:cs="Arial"/>
          <w:color w:val="000000"/>
          <w:kern w:val="0"/>
          <w:sz w:val="15"/>
          <w:szCs w:val="15"/>
        </w:rPr>
        <w:t>i</w:t>
      </w:r>
      <w:proofErr w:type="spellEnd"/>
      <w:r w:rsidRPr="00B7036E">
        <w:rPr>
          <w:rFonts w:ascii="Arial" w:eastAsia="Times New Roman" w:hAnsi="Arial" w:cs="Arial"/>
          <w:color w:val="000000"/>
          <w:kern w:val="0"/>
          <w:sz w:val="15"/>
          <w:szCs w:val="15"/>
        </w:rPr>
        <w:t xml:space="preserve">) become subject to </w:t>
      </w:r>
      <w:r w:rsidRPr="00B7036E">
        <w:rPr>
          <w:rFonts w:ascii="Arial" w:eastAsia="Times New Roman" w:hAnsi="Arial" w:cs="Arial"/>
          <w:color w:val="000000"/>
          <w:kern w:val="0"/>
          <w:sz w:val="15"/>
          <w:szCs w:val="15"/>
        </w:rPr>
        <w:lastRenderedPageBreak/>
        <w:t>the then current non-promotional APR for Purchases on the Account and (ii) be subject to the non-Easy Pay Offer Minimum Payment Due calculation applicable to the Principal Balance described in "Your Minimum Payment Each Month". The then current non-promotional APR will be applied to the remaining Easy Pay Balance amount on the first day of the next billing cycle after expiration of the Easy Pay promotion on any remaining balance. If you accept an Easy Pay Offer, you acknowledge and agree that the specific terms of the Easy Pay Offer will modify and become part of this Agreement, and all other terms and conditions of this Agreement will apply to the Easy Pay Offer.</w:t>
      </w:r>
      <w:r w:rsidRPr="00B7036E">
        <w:rPr>
          <w:rFonts w:ascii="Arial" w:eastAsia="Times New Roman" w:hAnsi="Arial" w:cs="Arial"/>
          <w:color w:val="000000"/>
          <w:kern w:val="0"/>
          <w:sz w:val="15"/>
          <w:szCs w:val="15"/>
        </w:rPr>
        <w:br/>
      </w:r>
      <w:r w:rsidRPr="00B7036E">
        <w:rPr>
          <w:rFonts w:ascii="Arial" w:eastAsia="Times New Roman" w:hAnsi="Arial" w:cs="Arial"/>
          <w:color w:val="000000"/>
          <w:kern w:val="0"/>
          <w:sz w:val="15"/>
          <w:szCs w:val="15"/>
        </w:rPr>
        <w:br/>
      </w:r>
      <w:r w:rsidRPr="00B7036E">
        <w:rPr>
          <w:rFonts w:ascii="Arial" w:eastAsia="Times New Roman" w:hAnsi="Arial" w:cs="Arial"/>
          <w:b/>
          <w:bCs/>
          <w:color w:val="000000"/>
          <w:kern w:val="0"/>
          <w:sz w:val="15"/>
        </w:rPr>
        <w:t>Variable Rate Information</w:t>
      </w:r>
      <w:proofErr w:type="gramStart"/>
      <w:r w:rsidRPr="00B7036E">
        <w:rPr>
          <w:rFonts w:ascii="Arial" w:eastAsia="Times New Roman" w:hAnsi="Arial" w:cs="Arial"/>
          <w:b/>
          <w:bCs/>
          <w:color w:val="000000"/>
          <w:kern w:val="0"/>
          <w:sz w:val="15"/>
        </w:rPr>
        <w:t>  </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The standard Annual Percentage Rates (APRs) on your Account that are used to determine the amount of interest to be charged for Purchases, Balance Transfers, and Cash Advances are variable rates.  The APRs on your Account correspond to daily periodic rates (“DPR)” and are calculated by multiplying the applicable DPR by 365.  The DPRs on your Account equal 1/365th   of the sum of 1) the applicable Prime Rate, 2) plus 16.74% for Purchases (Maximum APR 29.99</w:t>
      </w:r>
      <w:r w:rsidRPr="00B7036E">
        <w:rPr>
          <w:rFonts w:ascii="Arial" w:eastAsia="Times New Roman" w:hAnsi="Arial" w:cs="Arial"/>
          <w:color w:val="000000"/>
          <w:kern w:val="0"/>
          <w:sz w:val="18"/>
          <w:szCs w:val="18"/>
          <w:shd w:val="clear" w:color="auto" w:fill="FFFF00"/>
        </w:rPr>
        <w:t>x</w:t>
      </w:r>
      <w:r w:rsidRPr="00B7036E">
        <w:rPr>
          <w:rFonts w:ascii="Arial" w:eastAsia="Times New Roman" w:hAnsi="Arial" w:cs="Arial"/>
          <w:color w:val="000000"/>
          <w:kern w:val="0"/>
          <w:sz w:val="15"/>
          <w:szCs w:val="15"/>
        </w:rPr>
        <w:t>%), plus 16.74% for Balance Transfers (Maximum APR 29.99</w:t>
      </w:r>
      <w:r w:rsidRPr="00B7036E">
        <w:rPr>
          <w:rFonts w:ascii="Arial" w:eastAsia="Times New Roman" w:hAnsi="Arial" w:cs="Arial"/>
          <w:color w:val="000000"/>
          <w:kern w:val="0"/>
          <w:sz w:val="18"/>
          <w:szCs w:val="18"/>
          <w:shd w:val="clear" w:color="auto" w:fill="FFFF00"/>
        </w:rPr>
        <w:t>x</w:t>
      </w:r>
      <w:r w:rsidRPr="00B7036E">
        <w:rPr>
          <w:rFonts w:ascii="Arial" w:eastAsia="Times New Roman" w:hAnsi="Arial" w:cs="Arial"/>
          <w:color w:val="000000"/>
          <w:kern w:val="0"/>
          <w:sz w:val="15"/>
          <w:szCs w:val="15"/>
        </w:rPr>
        <w:t>%); and plus 21.99% for Cash Advances (Maximum APR 29.99</w:t>
      </w:r>
      <w:r w:rsidRPr="00B7036E">
        <w:rPr>
          <w:rFonts w:ascii="Arial" w:eastAsia="Times New Roman" w:hAnsi="Arial" w:cs="Arial"/>
          <w:color w:val="000000"/>
          <w:kern w:val="0"/>
          <w:sz w:val="18"/>
          <w:szCs w:val="18"/>
          <w:shd w:val="clear" w:color="auto" w:fill="FFFF00"/>
        </w:rPr>
        <w:t>x</w:t>
      </w:r>
      <w:r w:rsidRPr="00B7036E">
        <w:rPr>
          <w:rFonts w:ascii="Arial" w:eastAsia="Times New Roman" w:hAnsi="Arial" w:cs="Arial"/>
          <w:color w:val="000000"/>
          <w:kern w:val="0"/>
          <w:sz w:val="15"/>
          <w:szCs w:val="15"/>
        </w:rPr>
        <w:t>%). The "Prime Rate" used in determining the APRs in each billing cycle will be the highest rate published in the Money Rates column of </w:t>
      </w:r>
      <w:r w:rsidRPr="00B7036E">
        <w:rPr>
          <w:rFonts w:ascii="Arial" w:eastAsia="Times New Roman" w:hAnsi="Arial" w:cs="Arial"/>
          <w:i/>
          <w:iCs/>
          <w:color w:val="000000"/>
          <w:kern w:val="0"/>
          <w:sz w:val="15"/>
        </w:rPr>
        <w:t>The Wall Street Journal</w:t>
      </w:r>
      <w:r w:rsidRPr="00B7036E">
        <w:rPr>
          <w:rFonts w:ascii="Arial" w:eastAsia="Times New Roman" w:hAnsi="Arial" w:cs="Arial"/>
          <w:color w:val="000000"/>
          <w:kern w:val="0"/>
          <w:sz w:val="15"/>
          <w:szCs w:val="15"/>
        </w:rPr>
        <w:t> on the last business day of each month.  An increase or decrease in the Prime Rate will cause a corresponding increase or decrease to your variable rates on the first day of the billing cycle that begins in the same month in which the applicable Prime Rate is published. Any such increase or decrease will cause a corresponding increase or decrease in the amount of interest assessed and possibly in the amount of the Minimum Payment Due.  If </w:t>
      </w:r>
      <w:r w:rsidRPr="00B7036E">
        <w:rPr>
          <w:rFonts w:ascii="Arial" w:eastAsia="Times New Roman" w:hAnsi="Arial" w:cs="Arial"/>
          <w:i/>
          <w:iCs/>
          <w:color w:val="000000"/>
          <w:kern w:val="0"/>
          <w:sz w:val="15"/>
        </w:rPr>
        <w:t>The Wall Street Journal</w:t>
      </w:r>
      <w:r w:rsidRPr="00B7036E">
        <w:rPr>
          <w:rFonts w:ascii="Arial" w:eastAsia="Times New Roman" w:hAnsi="Arial" w:cs="Arial"/>
          <w:color w:val="000000"/>
          <w:kern w:val="0"/>
          <w:sz w:val="15"/>
          <w:szCs w:val="15"/>
        </w:rPr>
        <w:t> does not publish the U.S. Prime Rate, or if it changes the definition of the U.S. Prime Rate, we may substitute another index.  </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The current rates on your Account.</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The DPR for all Wyndham Timeshare Purchases during its introductory period is 0.00% (which corresponds to an introductory APR of 0%). See below for the DPR and APR that will apply to any outstanding remaining Wyndham Timeshare Purchases balance at the end of the introductory period (see above for the term of the introductory period). </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As of </w:t>
      </w:r>
      <w:r w:rsidRPr="00B7036E">
        <w:rPr>
          <w:rFonts w:ascii="Arial" w:eastAsia="Times New Roman" w:hAnsi="Arial" w:cs="Arial"/>
          <w:color w:val="000000"/>
          <w:kern w:val="0"/>
          <w:sz w:val="18"/>
          <w:szCs w:val="18"/>
        </w:rPr>
        <w:t>10/31/2025</w:t>
      </w:r>
      <w:r w:rsidRPr="00B7036E">
        <w:rPr>
          <w:rFonts w:ascii="Arial" w:eastAsia="Times New Roman" w:hAnsi="Arial" w:cs="Arial"/>
          <w:color w:val="000000"/>
          <w:kern w:val="0"/>
          <w:sz w:val="15"/>
          <w:szCs w:val="15"/>
        </w:rPr>
        <w:t> the Prime Rate was </w:t>
      </w:r>
      <w:r w:rsidRPr="00B7036E">
        <w:rPr>
          <w:rFonts w:ascii="Arial" w:eastAsia="Times New Roman" w:hAnsi="Arial" w:cs="Arial"/>
          <w:color w:val="000000"/>
          <w:kern w:val="0"/>
          <w:sz w:val="18"/>
          <w:szCs w:val="18"/>
        </w:rPr>
        <w:t>7.0%</w:t>
      </w:r>
      <w:r w:rsidRPr="00B7036E">
        <w:rPr>
          <w:rFonts w:ascii="Arial" w:eastAsia="Times New Roman" w:hAnsi="Arial" w:cs="Arial"/>
          <w:color w:val="000000"/>
          <w:kern w:val="0"/>
          <w:sz w:val="15"/>
          <w:szCs w:val="15"/>
        </w:rPr>
        <w:t>. The DPR for all other Purchases (and the DPR for the Wyndham Timeshare Purchases at the end of the introductory period), would have been 0.0650% (which corresponds to an APR of</w:t>
      </w:r>
      <w:proofErr w:type="gramStart"/>
      <w:r w:rsidRPr="00B7036E">
        <w:rPr>
          <w:rFonts w:ascii="Arial" w:eastAsia="Times New Roman" w:hAnsi="Arial" w:cs="Arial"/>
          <w:color w:val="000000"/>
          <w:kern w:val="0"/>
          <w:sz w:val="15"/>
          <w:szCs w:val="15"/>
        </w:rPr>
        <w:t>  23.74</w:t>
      </w:r>
      <w:proofErr w:type="gramEnd"/>
      <w:r w:rsidRPr="00B7036E">
        <w:rPr>
          <w:rFonts w:ascii="Arial" w:eastAsia="Times New Roman" w:hAnsi="Arial" w:cs="Arial"/>
          <w:color w:val="000000"/>
          <w:kern w:val="0"/>
          <w:sz w:val="15"/>
          <w:szCs w:val="15"/>
        </w:rPr>
        <w:t>%). The DPR for Balance Transfers would have been 0.0650% (which corresponds to an APR of</w:t>
      </w:r>
      <w:proofErr w:type="gramStart"/>
      <w:r w:rsidRPr="00B7036E">
        <w:rPr>
          <w:rFonts w:ascii="Arial" w:eastAsia="Times New Roman" w:hAnsi="Arial" w:cs="Arial"/>
          <w:color w:val="000000"/>
          <w:kern w:val="0"/>
          <w:sz w:val="15"/>
          <w:szCs w:val="15"/>
        </w:rPr>
        <w:t>  23.74</w:t>
      </w:r>
      <w:proofErr w:type="gramEnd"/>
      <w:r w:rsidRPr="00B7036E">
        <w:rPr>
          <w:rFonts w:ascii="Arial" w:eastAsia="Times New Roman" w:hAnsi="Arial" w:cs="Arial"/>
          <w:color w:val="000000"/>
          <w:kern w:val="0"/>
          <w:sz w:val="15"/>
          <w:szCs w:val="15"/>
        </w:rPr>
        <w:t>%).  The DPR for Cash Advances would have been 0.0794% (which corresponds to an APR of 28.99%).</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szCs w:val="15"/>
        </w:rPr>
        <w:t>Military Lending Act Protections.</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 To receive this information and a description of your payment obligation orally, please call 866-540-9074.</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 are covered by the Military Lending Act, then notwithstanding anything to the contrary in this agreement, to the extent required by the Military Lending Act, nothing in this agreement will be deemed a waiver of the right to legal recourse under any otherwise applicable provision of state or federal law.</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How We Will Calculate Interest.</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We use a method called “daily balance (including new purchases).”  We calculate interest separately for each "Balance Subject to Interest Rate."  These include for example, Purchases at the current rate, Balance Transfers at the current rate, Cash Advances at the current rate, and different promotional balances.  Your monthly billing statement shows each "Balance Subject to Interest Rate." </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To calculate interest, we first calculate a daily balance for each Balance Subject to Interest Rate.  We start with the balance, for that Balance Subject to Interest Rate, as of the end of the previous day.  We add any interest calculated on the previous day’s balance.  (This means interest is compounded daily).  We add any new Purchases, Balance Transfers or Cash Advances to the appropriate balance, subtract any new payments or credits from the appropriate balance, and make other adjustments.  A credit balance is treated as a balance of zero.  We then multiply each daily balance by the applicable DPR.   We do this for each day in the billing period.  That gives us the daily interest.  We add up all the daily interest for all of the daily balances to get the total interest for the billing period.  </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Accrual of Interest and How to Avoid Paying Interest on Purchases.</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On Purchases, interest begins to accrue as of the transaction date. However, you can avoid paying interest on Purchases in any given billing cycle if you pay your Statement Balance in full by the Payment Due Date. For Balance Transfers, interest will accrue from the transaction date which generally will be the day we send the Balance Transfer to the payee. For Checks, interest will accrue from the transaction date which generally will be the day the payee accepts the Check. For Cash Advances, interest will accrue from the transaction date which generally will be the day you take the Cash Advance. If you are charged interest in a billing cycle, we will charge a Minimum Interest Charge (or "Minimum Charge") on your Account if the total interest charge in that billing cycle is less than the amount of the Minimum Interest Charge that is disclosed in the Account Summary Table.</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 have a promotional APR offer(s) on your Account, you can avoid paying interest on non-promotional Purchases if you pay, by the Payment Due Date, the amount that equals your Easy Pay Payment Amount(s) plus your Statement Balance, minus any promotional Balance Transfer balance or special category Purchase (such as an Easy Pay Balance) with a reduced APR, and minus any Deferred Financing Purchase during all but the last billing period of the promotional period. If one or more of the balances on your Account is subject to one of these promotional APR offers, this will be more fully explained on your monthly Statement.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lastRenderedPageBreak/>
        <w:t>Transaction Fees.</w:t>
      </w:r>
      <w:proofErr w:type="gramEnd"/>
      <w:r w:rsidRPr="00B7036E">
        <w:rPr>
          <w:rFonts w:ascii="Arial" w:eastAsia="Times New Roman" w:hAnsi="Arial" w:cs="Arial"/>
          <w:b/>
          <w:bCs/>
          <w:color w:val="000000"/>
          <w:kern w:val="0"/>
          <w:sz w:val="15"/>
        </w:rPr>
        <w:t> </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If you use your Card or Account to obtain a Cash Advance, we will charge a Cash Advance Fee for each such Cash Advance. If you use your Card or Account to make a Balance Transfer, we will charge a Balance Transfer Fee for each such Balance Transfer. If you use your Card or Account to purchase Cash Equivalents, we will charge a Cash Advance Fee (sometimes we may refer to this as a Cash Equivalent Fee) for each such transaction. If you use your Card or Account for a Foreign Transaction, we will charge a Foreign Transaction Fee for each such transaction.  Balance Transfer Checks and Cash Advance Checks are subject to the same Transaction Fee as Balance Transfers and Cash Advances, respectively.  The present amounts of those charges are stated in the Account Summary Table. </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Account Fees.</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In addition to the fees listed in the Account Summary Table, we may also assess the Account Fees listed below.</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Annual Fee.</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If your Account has an Annual Fee, generally it will be billed at account opening and every twelve months thereafter. The amount of the Annual Fee, if there is one on your Account, is listed in the Account Summary Table.</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Late Payment Fee – </w:t>
      </w:r>
      <w:r w:rsidRPr="00B7036E">
        <w:rPr>
          <w:rFonts w:ascii="Arial" w:eastAsia="Times New Roman" w:hAnsi="Arial" w:cs="Arial"/>
          <w:color w:val="000000"/>
          <w:kern w:val="0"/>
          <w:sz w:val="15"/>
          <w:szCs w:val="15"/>
        </w:rPr>
        <w:t>If we do not receive a payment from you in at least the amount of your Minimum Payment Due by the Payment Due Date shown on your monthly statement, we may charge you a Late Payment Fee. The amount of the Late Payment Fee will be determined in accordance with applicable law. Thus, the fee generally will not exceed the amount of the applicable Minimum Payment Due. In addition, this fee will not exceed $40. If you have not been assessed a late fee in the 6 preceding billing cycles, this fee will not exceed $29.</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Returned Payment Fee – </w:t>
      </w:r>
      <w:r w:rsidRPr="00B7036E">
        <w:rPr>
          <w:rFonts w:ascii="Arial" w:eastAsia="Times New Roman" w:hAnsi="Arial" w:cs="Arial"/>
          <w:color w:val="000000"/>
          <w:kern w:val="0"/>
          <w:sz w:val="15"/>
          <w:szCs w:val="15"/>
        </w:rPr>
        <w:t>If your bank does not honor a check or direct debit you deliver to us, or we must return a check because it is not signed or is otherwise irregular, we may charge you a Returned Payment Fee. The amount of the Returned Payment Fee will be determined in accordance with applicable law. Thus, the fee generally will not exceed the amount of the applicable Minimum Payment Due.  In addition, this fee will not exceed $40. If you have not been assessed a returned payment fee in the 6 preceding billing cycles, this fee will not exceed $29.</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Returned Check Fee</w:t>
      </w:r>
      <w:r w:rsidRPr="00B7036E">
        <w:rPr>
          <w:rFonts w:ascii="Arial" w:eastAsia="Times New Roman" w:hAnsi="Arial" w:cs="Arial"/>
          <w:color w:val="000000"/>
          <w:kern w:val="0"/>
          <w:sz w:val="15"/>
          <w:szCs w:val="15"/>
        </w:rPr>
        <w:t> – If we return a Convenience Check (which includes a Balance Transfer Check or Cash Advance Check) unpaid because it exceeds your available credit line at the time it is processed, your Account is closed or otherwise does not have charging privileges, you did not comply with our instructions regarding the Check or your Account is past due, we may charge you a Returned Check Fee. The amount of the Returned Check Fee will be determined in accordance with applicable law. Thus, the fee generally will not exceed the amount of the returned Convenience Check. In addition, this fee will not exceed $40. If you have not been assessed a returned check fee in the 6 preceding billing cycles, this fee will not exceed $29.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Check Stop Payment Fee</w:t>
      </w:r>
      <w:r w:rsidRPr="00B7036E">
        <w:rPr>
          <w:rFonts w:ascii="Arial" w:eastAsia="Times New Roman" w:hAnsi="Arial" w:cs="Arial"/>
          <w:color w:val="000000"/>
          <w:kern w:val="0"/>
          <w:sz w:val="15"/>
          <w:szCs w:val="15"/>
        </w:rPr>
        <w:t>–If we stop payment on a Convenience Check at your request, we may charge you a Check Stop Payment Fee of $39.95. </w:t>
      </w:r>
    </w:p>
    <w:p w:rsidR="00B7036E" w:rsidRPr="00B7036E" w:rsidRDefault="00B7036E" w:rsidP="00B7036E">
      <w:pPr>
        <w:spacing w:after="0" w:line="240" w:lineRule="auto"/>
        <w:rPr>
          <w:rFonts w:ascii="Times New Roman" w:eastAsia="Times New Roman" w:hAnsi="Times New Roman" w:cs="Times New Roman"/>
          <w:kern w:val="0"/>
          <w:sz w:val="24"/>
          <w:szCs w:val="24"/>
        </w:rPr>
      </w:pPr>
      <w:r w:rsidRPr="00B7036E">
        <w:rPr>
          <w:rFonts w:ascii="Arial" w:eastAsia="Times New Roman" w:hAnsi="Arial" w:cs="Arial"/>
          <w:color w:val="000000"/>
          <w:kern w:val="0"/>
          <w:sz w:val="15"/>
          <w:szCs w:val="15"/>
        </w:rPr>
        <w:t>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ARBITRATION.</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b/>
          <w:bCs/>
          <w:color w:val="000000"/>
          <w:kern w:val="0"/>
          <w:sz w:val="15"/>
        </w:rPr>
        <w:t>THIS ARBITRATION PROVISION DOES NOT APPLY TO YOU IF YOU ARE SUBJECT TO THE PROTECTIONS OF THE MILITARY LENDING ACT.</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This arbitration provision provides for binding arbitration of all Claims by either you or us against the other if either you or we choose to refer the Claim to arbitration. The terms “you,” “we,” and “us” are defined below for purposes of this arbitration provision. A “Claim” covered by this provision is any claim, dispute or controversy by either you or us against the other, arising from or relating in any way to this Agreement, your Account, any transaction or activity on your Account, our relationship, products or services provided by us or a third party in connection with this Agreement or your Account, including (without limitation) claims, disputes, or controversies based on contract, tort (including intentional torts), fraud, agency, negligence, statutory or regulatory provisions or any other source of law and (except as otherwise specifically provided in this Agreement). All issues shall be for the arbitrator to decide except issues related to the scope, enforceability, interpretation, or formation of this arbitration agreement, which shall be for the court to decide. For purposes of this arbitration provision, “you” includes yourself, any authorized user on the Account, and any of your agents, beneficiaries or assigns, or anyone acting on behalf of the foregoing, and “we” or “us” includes our employees, parents, subsidiaries, affiliates, beneficiaries, agents and assigns, and to the extent included in a proceeding in which Barclays is a party, Barclays’ service providers and marketing partners.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In arbitration, a neutral arbitrator—not a judge or a jury—decides whether to award relief. Procedures are also simpler in arbitration than in court. For example, discovery is more limited. Review of the arbitrator’s decision by appeal is also limited (as described below in this arbitration provision). You and we agree that all Claims must be arbitrated on an individual basis between you and us, and not on a class, representative, or any other kind of collective basis. As a result, class actions and other representative or collective basis proceedings are not available for resolution of Claims. Apart from Claims arising from the same Account, no claims may be joined together in the arbitration. The arbitrator shall not have any authority to entertain a claim, or to award any relief, on behalf of or against anyone other than a named party to the arbitration proceeding.</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TO BE CLEAR, ARBITRATION WITH RESPECT TO A CLAIM IS BINDING AND NEITHER YOU NOR WE WILL HAVE THE RIGHT TO LITIGATE THAT CLAIM IN COURT. IN ARBITRATION YOU AND WE WILL NOT HAVE THE RIGHTS THAT ARE PROVIDED IN COURT INCLUDING THE RIGHT TO A TRIAL BY JUDGE OR JURY AND THE RIGHT TO PARTICIPATE OR BE REPRESENTED IN PROCEEDINGS BROUGHT BY OTHERS SUCH AS CLASS ACTIONS OR SIMILAR PROCEEDINGS. IN ADDITION, THE RIGHT TO DISCOVERY AND THE RIGHT TO APPEAL ARE ALSO LIMITED OR ELIMINATED BY ARBITRATION. ALL OF THESE RIGHTS ARE WAIVED AND ALL CLAIMS MUST BE RESOLVED THROUGH ARBITRATION.</w:t>
      </w:r>
      <w:r w:rsidRPr="00B7036E">
        <w:rPr>
          <w:rFonts w:ascii="Arial" w:eastAsia="Times New Roman" w:hAnsi="Arial" w:cs="Arial"/>
          <w:b/>
          <w:bCs/>
          <w:color w:val="000000"/>
          <w:kern w:val="0"/>
          <w:sz w:val="15"/>
          <w:szCs w:val="15"/>
        </w:rPr>
        <w:br/>
      </w:r>
      <w:r w:rsidRPr="00B7036E">
        <w:rPr>
          <w:rFonts w:ascii="Arial" w:eastAsia="Times New Roman" w:hAnsi="Arial" w:cs="Arial"/>
          <w:b/>
          <w:bCs/>
          <w:color w:val="000000"/>
          <w:kern w:val="0"/>
          <w:sz w:val="15"/>
          <w:szCs w:val="15"/>
        </w:rPr>
        <w:lastRenderedPageBreak/>
        <w:br/>
      </w:r>
      <w:r w:rsidRPr="00B7036E">
        <w:rPr>
          <w:rFonts w:ascii="Arial" w:eastAsia="Times New Roman" w:hAnsi="Arial" w:cs="Arial"/>
          <w:color w:val="000000"/>
          <w:kern w:val="0"/>
          <w:sz w:val="15"/>
          <w:szCs w:val="15"/>
        </w:rPr>
        <w:t>If any Claim is advanced in a court, arbitration may be elected under this provision instead, and the right to elect arbitration shall not be deemed to have been waived if the election is made at any time before commencement of trial. Alternatively, you or we may pursue a Claim within the jurisdiction of the Justice of the Peace Court in Delaware, or the equivalent court in your home jurisdiction, provided that the action remains in that court, is made on behalf of or against you only and is not made part of a class action, private attorney general action or other representative or collective action. You and we agree to honor a request by the other to remove an action to these small claims courts (i.e., Justice of the Peace Court in Delaware or the equivalent court in your home jurisdiction), provided that the opposing party receives the request within forty-five days of the notice of commencement of arbitration. Any arbitration proceeding shall be stayed pending determinations by the small claims court, including determination of its jurisdiction to address the Claim.</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br/>
        <w:t>The arbitration shall be administered by the American Arbitration Association, www.adr.org, 950 Warren Avenue, East Providence, Rhode Island, 02914, 1-866-293-4053 (the “Administrator”). The Administrator provides information about arbitration, its arbitration rules and procedures, fee schedule and claims forms at its web site or by mail as set forth above. The arbitration hearing may be conducted in person, by telephone, or based on documents, as appropriate. The Administrator will apply the rules and procedures in effect and applicable to the claim at the time the arbitration is filed. The Claim will be heard before a single arbitrator. The arbitration will not be consolidated with any other arbitration proceedings. The Administrator shall resolve each dispute in accordance with applicable law.</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xml:space="preserve">If you commence arbitration, you must provide us the notice required by the Administrator’s rules and procedures. The notice may be sent to us at Barclays Bank Delaware, P.O. Box 8801, Wilmington, DE 19899-8801. If we commence arbitration, we will provide you notice at your last known billing address. Any in-person arbitration hearing at which you appear will take place at a location within the federal judicial district that includes your billing address at the time the Claim is filed. This arbitration agreement is made pursuant to a transaction involving interstate commerce, and shall be governed by the Federal Arbitration Act, 9 U.S.C. §§ 1-16. No class actions, </w:t>
      </w:r>
      <w:proofErr w:type="spellStart"/>
      <w:r w:rsidRPr="00B7036E">
        <w:rPr>
          <w:rFonts w:ascii="Arial" w:eastAsia="Times New Roman" w:hAnsi="Arial" w:cs="Arial"/>
          <w:color w:val="000000"/>
          <w:kern w:val="0"/>
          <w:sz w:val="15"/>
          <w:szCs w:val="15"/>
        </w:rPr>
        <w:t>joinder</w:t>
      </w:r>
      <w:proofErr w:type="spellEnd"/>
      <w:r w:rsidRPr="00B7036E">
        <w:rPr>
          <w:rFonts w:ascii="Arial" w:eastAsia="Times New Roman" w:hAnsi="Arial" w:cs="Arial"/>
          <w:color w:val="000000"/>
          <w:kern w:val="0"/>
          <w:sz w:val="15"/>
          <w:szCs w:val="15"/>
        </w:rPr>
        <w:t xml:space="preserve"> or consolidation of any Claim with a Claim of any other person or entity shall be allowable in arbitration, without the written consent of both you and us. In the event that there is a dispute about whether limiting arbitration of the parties’ dispute to non-class proceedings is enforceable under applicable law, then that question shall be resolved by litigation in a court rather than by the arbitrator; and to the extent it is determined that resolution of a Claim shall proceed on a class basis, it shall so proceed in a court of competent jurisdiction rather than in arbitration.</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A party can appeal an arbitrator’s award pursuant to the AAA’s Optional Appellate Arbitration Rules (“Appellate Rules”) within 30 days of the date of the issuance of the arbitrator’s award issuance. As specified in the Appellate Rules, a party may appeal on the grounds that the arbitrator’s award is based on an error of law that is material and prejudicial; or that the award is based on determinations of fact that are clearly erroneous. As further specified in the Appellate Rules, the decision by the appellate tribunal shall become the final award for purposes of judicial enforcement proceedings. Any final arbitration award will be binding on the named parties and enforceable by any court having jurisdiction. Judgment upon any arbitration award may be entered in any court having jurisdiction. We will pay, or reimburse you for, all fees or costs to the extent required by law or the rules of the arbitration Administrator. Whether or not required by law or such rules, if you prevail at arbitration on any Claim against us, we will reimburse you for any fees paid to the Administrator in connection with the arbitration proceedings. Under no circumstances will we seek from you payment or reimbursement of any fees that we incur in connection with arbitration. If you are required to advance any fees or costs to the arbitration Administrator, but you ask us to do so in your stead, we will consider and respond to your request.</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xml:space="preserve">This arbitration agreement applies to all Claims now in existence or that may arise in the future, and it survives the assignment or termination of the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 and the Account relationship, including your payment in full, and your filing of bankruptcy or obtaining a discharge in bankruptcy. Nothing in this Agreement shall be construed to prevent any party’s use of (or advancement of any claims, defenses, or offsets in) bankruptcy or repossession, </w:t>
      </w:r>
      <w:proofErr w:type="spellStart"/>
      <w:r w:rsidRPr="00B7036E">
        <w:rPr>
          <w:rFonts w:ascii="Arial" w:eastAsia="Times New Roman" w:hAnsi="Arial" w:cs="Arial"/>
          <w:color w:val="000000"/>
          <w:kern w:val="0"/>
          <w:sz w:val="15"/>
          <w:szCs w:val="15"/>
        </w:rPr>
        <w:t>replevin</w:t>
      </w:r>
      <w:proofErr w:type="spellEnd"/>
      <w:r w:rsidRPr="00B7036E">
        <w:rPr>
          <w:rFonts w:ascii="Arial" w:eastAsia="Times New Roman" w:hAnsi="Arial" w:cs="Arial"/>
          <w:color w:val="000000"/>
          <w:kern w:val="0"/>
          <w:sz w:val="15"/>
          <w:szCs w:val="15"/>
        </w:rPr>
        <w:t>, judicial foreclosure or any other prejudgment or provisional remedy relating to any collateral, security or property interests for contractual debts now or hereafter owed by either party to the other under this Agreement.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Foreign Currency Conversion.</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b/>
          <w:bCs/>
          <w:color w:val="000000"/>
          <w:kern w:val="0"/>
          <w:sz w:val="15"/>
        </w:rPr>
        <w:t>For </w:t>
      </w:r>
      <w:proofErr w:type="spellStart"/>
      <w:r w:rsidRPr="00B7036E">
        <w:rPr>
          <w:rFonts w:ascii="Arial" w:eastAsia="Times New Roman" w:hAnsi="Arial" w:cs="Arial"/>
          <w:b/>
          <w:bCs/>
          <w:color w:val="000000"/>
          <w:kern w:val="0"/>
          <w:sz w:val="15"/>
        </w:rPr>
        <w:t>Mastercard</w:t>
      </w:r>
      <w:proofErr w:type="spellEnd"/>
      <w:r w:rsidRPr="00B7036E">
        <w:rPr>
          <w:rFonts w:ascii="Arial" w:eastAsia="Times New Roman" w:hAnsi="Arial" w:cs="Arial"/>
          <w:b/>
          <w:bCs/>
          <w:color w:val="000000"/>
          <w:kern w:val="0"/>
          <w:sz w:val="15"/>
        </w:rPr>
        <w:t xml:space="preserve"> Cards</w:t>
      </w:r>
      <w:r w:rsidRPr="00B7036E">
        <w:rPr>
          <w:rFonts w:ascii="Arial" w:eastAsia="Times New Roman" w:hAnsi="Arial" w:cs="Arial"/>
          <w:color w:val="000000"/>
          <w:kern w:val="0"/>
          <w:sz w:val="15"/>
          <w:szCs w:val="15"/>
        </w:rPr>
        <w:t>, we and </w:t>
      </w:r>
      <w:proofErr w:type="spellStart"/>
      <w:r w:rsidRPr="00B7036E">
        <w:rPr>
          <w:rFonts w:ascii="Arial" w:eastAsia="Times New Roman" w:hAnsi="Arial" w:cs="Arial"/>
          <w:color w:val="000000"/>
          <w:kern w:val="0"/>
          <w:sz w:val="15"/>
          <w:szCs w:val="15"/>
        </w:rPr>
        <w:t>Mastercard</w:t>
      </w:r>
      <w:proofErr w:type="spellEnd"/>
      <w:r w:rsidRPr="00B7036E">
        <w:rPr>
          <w:rFonts w:ascii="Arial" w:eastAsia="Times New Roman" w:hAnsi="Arial" w:cs="Arial"/>
          <w:color w:val="000000"/>
          <w:kern w:val="0"/>
          <w:sz w:val="15"/>
          <w:szCs w:val="15"/>
        </w:rPr>
        <w:t xml:space="preserve"> (or their affiliates) will convert transactions in foreign currencies into U.S. Dollars. </w:t>
      </w:r>
      <w:proofErr w:type="spellStart"/>
      <w:r w:rsidRPr="00B7036E">
        <w:rPr>
          <w:rFonts w:ascii="Arial" w:eastAsia="Times New Roman" w:hAnsi="Arial" w:cs="Arial"/>
          <w:color w:val="000000"/>
          <w:kern w:val="0"/>
          <w:sz w:val="15"/>
          <w:szCs w:val="15"/>
        </w:rPr>
        <w:t>Mastercard</w:t>
      </w:r>
      <w:proofErr w:type="spellEnd"/>
      <w:r w:rsidRPr="00B7036E">
        <w:rPr>
          <w:rFonts w:ascii="Arial" w:eastAsia="Times New Roman" w:hAnsi="Arial" w:cs="Arial"/>
          <w:color w:val="000000"/>
          <w:kern w:val="0"/>
          <w:sz w:val="15"/>
          <w:szCs w:val="15"/>
        </w:rPr>
        <w:t xml:space="preserve"> will use their currency conversion procedures that are current at the time of the transaction. Currently, </w:t>
      </w:r>
      <w:proofErr w:type="spellStart"/>
      <w:r w:rsidRPr="00B7036E">
        <w:rPr>
          <w:rFonts w:ascii="Arial" w:eastAsia="Times New Roman" w:hAnsi="Arial" w:cs="Arial"/>
          <w:color w:val="000000"/>
          <w:kern w:val="0"/>
          <w:sz w:val="15"/>
          <w:szCs w:val="15"/>
        </w:rPr>
        <w:t>Mastercard</w:t>
      </w:r>
      <w:proofErr w:type="spellEnd"/>
      <w:r w:rsidRPr="00B7036E">
        <w:rPr>
          <w:rFonts w:ascii="Arial" w:eastAsia="Times New Roman" w:hAnsi="Arial" w:cs="Arial"/>
          <w:color w:val="000000"/>
          <w:kern w:val="0"/>
          <w:sz w:val="15"/>
          <w:szCs w:val="15"/>
        </w:rPr>
        <w:t xml:space="preserve"> selects a rate from the range of rates available in the wholesale currency markets for the applicable central processing date, which rate may vary from the rate </w:t>
      </w:r>
      <w:proofErr w:type="spellStart"/>
      <w:r w:rsidRPr="00B7036E">
        <w:rPr>
          <w:rFonts w:ascii="Arial" w:eastAsia="Times New Roman" w:hAnsi="Arial" w:cs="Arial"/>
          <w:color w:val="000000"/>
          <w:kern w:val="0"/>
          <w:sz w:val="15"/>
          <w:szCs w:val="15"/>
        </w:rPr>
        <w:t>Mastercard</w:t>
      </w:r>
      <w:proofErr w:type="spellEnd"/>
      <w:r w:rsidRPr="00B7036E">
        <w:rPr>
          <w:rFonts w:ascii="Arial" w:eastAsia="Times New Roman" w:hAnsi="Arial" w:cs="Arial"/>
          <w:color w:val="000000"/>
          <w:kern w:val="0"/>
          <w:sz w:val="15"/>
          <w:szCs w:val="15"/>
        </w:rPr>
        <w:t xml:space="preserve"> itself receives, or the government mandated rate in effect for the applicable central processing date. The currency conversion rate used on the conversion date may differ from the rate in effect on the date you used your Card or Account.</w:t>
      </w:r>
      <w:r w:rsidRPr="00B7036E">
        <w:rPr>
          <w:rFonts w:ascii="Arial" w:eastAsia="Times New Roman" w:hAnsi="Arial" w:cs="Arial"/>
          <w:color w:val="000000"/>
          <w:kern w:val="0"/>
          <w:sz w:val="15"/>
          <w:szCs w:val="15"/>
        </w:rPr>
        <w:br/>
      </w:r>
      <w:r w:rsidRPr="00B7036E">
        <w:rPr>
          <w:rFonts w:ascii="Arial" w:eastAsia="Times New Roman" w:hAnsi="Arial" w:cs="Arial"/>
          <w:b/>
          <w:bCs/>
          <w:color w:val="000000"/>
          <w:kern w:val="0"/>
          <w:sz w:val="15"/>
        </w:rPr>
        <w:t>For Visa Cards</w:t>
      </w:r>
      <w:r w:rsidRPr="00B7036E">
        <w:rPr>
          <w:rFonts w:ascii="Arial" w:eastAsia="Times New Roman" w:hAnsi="Arial" w:cs="Arial"/>
          <w:color w:val="000000"/>
          <w:kern w:val="0"/>
          <w:sz w:val="15"/>
          <w:szCs w:val="15"/>
        </w:rPr>
        <w:t>, we and Visa (or their affiliates) will convert transactions in foreign currencies into U.S. Dollars. Visa will use its currency conversion procedures that are current at the time of the transaction. Currently, Visa selects a rate from the range of rates available in the wholesale currency markets for the applicable central processing date, which rate may vary from the rate Visa itself receives, or the government mandated rate in effect for the applicable central processing date. The currency conversion rate used on the conversion date may differ from the rate in effect on the date you used your Card or Account.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color w:val="000000"/>
          <w:kern w:val="0"/>
          <w:sz w:val="15"/>
        </w:rPr>
        <w:t>GOVERNING LAW.</w:t>
      </w:r>
      <w:proofErr w:type="gramEnd"/>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THIS AGREEMENT AND YOUR ACCOUNT WILL BE GOVERNED BY THE LAWS OF THE STATE OF DELAWARE AND, AS APPLICABLE, FEDERAL LAW.</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w:t>
      </w:r>
      <w:proofErr w:type="gramStart"/>
      <w:r w:rsidRPr="00B7036E">
        <w:rPr>
          <w:rFonts w:ascii="Arial" w:eastAsia="Times New Roman" w:hAnsi="Arial" w:cs="Arial"/>
          <w:b/>
          <w:bCs/>
          <w:color w:val="000000"/>
          <w:kern w:val="0"/>
          <w:sz w:val="15"/>
          <w:u w:val="single"/>
        </w:rPr>
        <w:t>YOUR</w:t>
      </w:r>
      <w:proofErr w:type="gramEnd"/>
      <w:r w:rsidRPr="00B7036E">
        <w:rPr>
          <w:rFonts w:ascii="Arial" w:eastAsia="Times New Roman" w:hAnsi="Arial" w:cs="Arial"/>
          <w:b/>
          <w:bCs/>
          <w:color w:val="000000"/>
          <w:kern w:val="0"/>
          <w:sz w:val="15"/>
          <w:u w:val="single"/>
        </w:rPr>
        <w:t xml:space="preserve"> BILLING RIGHTS</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i/>
          <w:iCs/>
          <w:color w:val="000000"/>
          <w:kern w:val="0"/>
          <w:sz w:val="15"/>
        </w:rPr>
        <w:t>Your Billing Rights: Keep this Document for Future Use</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This notice tells you about your rights and our responsibilities under the Fair Credit Billing Act.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i/>
          <w:iCs/>
          <w:color w:val="000000"/>
          <w:kern w:val="0"/>
          <w:sz w:val="15"/>
        </w:rPr>
        <w:lastRenderedPageBreak/>
        <w:t xml:space="preserve">What </w:t>
      </w:r>
      <w:proofErr w:type="gramStart"/>
      <w:r w:rsidRPr="00B7036E">
        <w:rPr>
          <w:rFonts w:ascii="Arial" w:eastAsia="Times New Roman" w:hAnsi="Arial" w:cs="Arial"/>
          <w:b/>
          <w:bCs/>
          <w:i/>
          <w:iCs/>
          <w:color w:val="000000"/>
          <w:kern w:val="0"/>
          <w:sz w:val="15"/>
        </w:rPr>
        <w:t>To</w:t>
      </w:r>
      <w:proofErr w:type="gramEnd"/>
      <w:r w:rsidRPr="00B7036E">
        <w:rPr>
          <w:rFonts w:ascii="Arial" w:eastAsia="Times New Roman" w:hAnsi="Arial" w:cs="Arial"/>
          <w:b/>
          <w:bCs/>
          <w:i/>
          <w:iCs/>
          <w:color w:val="000000"/>
          <w:kern w:val="0"/>
          <w:sz w:val="15"/>
        </w:rPr>
        <w:t xml:space="preserve"> Do If You Find A Mistake On Your Statement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 think there is an error on your statement, write to us at:</w:t>
      </w:r>
      <w:r w:rsidRPr="00B7036E">
        <w:rPr>
          <w:rFonts w:ascii="Arial" w:eastAsia="Times New Roman" w:hAnsi="Arial" w:cs="Arial"/>
          <w:color w:val="000000"/>
          <w:kern w:val="0"/>
          <w:sz w:val="15"/>
          <w:szCs w:val="15"/>
        </w:rPr>
        <w:br/>
        <w:t>        Card Services</w:t>
      </w:r>
      <w:r w:rsidRPr="00B7036E">
        <w:rPr>
          <w:rFonts w:ascii="Arial" w:eastAsia="Times New Roman" w:hAnsi="Arial" w:cs="Arial"/>
          <w:color w:val="000000"/>
          <w:kern w:val="0"/>
          <w:sz w:val="15"/>
          <w:szCs w:val="15"/>
        </w:rPr>
        <w:br/>
        <w:t>        P.O. Box 8802</w:t>
      </w:r>
      <w:r w:rsidRPr="00B7036E">
        <w:rPr>
          <w:rFonts w:ascii="Arial" w:eastAsia="Times New Roman" w:hAnsi="Arial" w:cs="Arial"/>
          <w:color w:val="000000"/>
          <w:kern w:val="0"/>
          <w:sz w:val="15"/>
          <w:szCs w:val="15"/>
        </w:rPr>
        <w:br/>
        <w:t>        Wilmington, DE 19899-8802.</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In your letter, give us the following information:</w:t>
      </w:r>
    </w:p>
    <w:p w:rsidR="00B7036E" w:rsidRPr="00B7036E" w:rsidRDefault="00B7036E" w:rsidP="00B7036E">
      <w:pPr>
        <w:numPr>
          <w:ilvl w:val="0"/>
          <w:numId w:val="6"/>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i/>
          <w:iCs/>
          <w:color w:val="000000"/>
          <w:kern w:val="0"/>
          <w:sz w:val="15"/>
        </w:rPr>
        <w:t>Account information</w:t>
      </w:r>
      <w:r w:rsidRPr="00B7036E">
        <w:rPr>
          <w:rFonts w:ascii="Arial" w:eastAsia="Times New Roman" w:hAnsi="Arial" w:cs="Arial"/>
          <w:b/>
          <w:bCs/>
          <w:color w:val="000000"/>
          <w:kern w:val="0"/>
          <w:sz w:val="15"/>
        </w:rPr>
        <w:t>:</w:t>
      </w:r>
      <w:r w:rsidRPr="00B7036E">
        <w:rPr>
          <w:rFonts w:ascii="Arial" w:eastAsia="Times New Roman" w:hAnsi="Arial" w:cs="Arial"/>
          <w:color w:val="000000"/>
          <w:kern w:val="0"/>
          <w:sz w:val="15"/>
          <w:szCs w:val="15"/>
        </w:rPr>
        <w:t> Your name and account number.</w:t>
      </w:r>
    </w:p>
    <w:p w:rsidR="00B7036E" w:rsidRPr="00B7036E" w:rsidRDefault="00B7036E" w:rsidP="00B7036E">
      <w:pPr>
        <w:numPr>
          <w:ilvl w:val="0"/>
          <w:numId w:val="6"/>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i/>
          <w:iCs/>
          <w:color w:val="000000"/>
          <w:kern w:val="0"/>
          <w:sz w:val="15"/>
        </w:rPr>
        <w:t>Dollar amount</w:t>
      </w:r>
      <w:r w:rsidRPr="00B7036E">
        <w:rPr>
          <w:rFonts w:ascii="Arial" w:eastAsia="Times New Roman" w:hAnsi="Arial" w:cs="Arial"/>
          <w:b/>
          <w:bCs/>
          <w:color w:val="000000"/>
          <w:kern w:val="0"/>
          <w:sz w:val="15"/>
        </w:rPr>
        <w:t>:</w:t>
      </w:r>
      <w:r w:rsidRPr="00B7036E">
        <w:rPr>
          <w:rFonts w:ascii="Arial" w:eastAsia="Times New Roman" w:hAnsi="Arial" w:cs="Arial"/>
          <w:color w:val="000000"/>
          <w:kern w:val="0"/>
          <w:sz w:val="15"/>
          <w:szCs w:val="15"/>
        </w:rPr>
        <w:t> The dollar amount of the suspected error.</w:t>
      </w:r>
    </w:p>
    <w:p w:rsidR="00B7036E" w:rsidRPr="00B7036E" w:rsidRDefault="00B7036E" w:rsidP="00B7036E">
      <w:pPr>
        <w:numPr>
          <w:ilvl w:val="0"/>
          <w:numId w:val="6"/>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i/>
          <w:iCs/>
          <w:color w:val="000000"/>
          <w:kern w:val="0"/>
          <w:sz w:val="15"/>
        </w:rPr>
        <w:t>Description of problem</w:t>
      </w:r>
      <w:r w:rsidRPr="00B7036E">
        <w:rPr>
          <w:rFonts w:ascii="Arial" w:eastAsia="Times New Roman" w:hAnsi="Arial" w:cs="Arial"/>
          <w:b/>
          <w:bCs/>
          <w:color w:val="000000"/>
          <w:kern w:val="0"/>
          <w:sz w:val="15"/>
        </w:rPr>
        <w:t>:</w:t>
      </w:r>
      <w:r w:rsidRPr="00B7036E">
        <w:rPr>
          <w:rFonts w:ascii="Arial" w:eastAsia="Times New Roman" w:hAnsi="Arial" w:cs="Arial"/>
          <w:color w:val="000000"/>
          <w:kern w:val="0"/>
          <w:sz w:val="15"/>
          <w:szCs w:val="15"/>
        </w:rPr>
        <w:t> If you think there is an error on your bill, describe what you believe is wrong and why you believe it is a mistake.</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must contact us:</w:t>
      </w:r>
    </w:p>
    <w:p w:rsidR="00B7036E" w:rsidRPr="00B7036E" w:rsidRDefault="00B7036E" w:rsidP="00B7036E">
      <w:pPr>
        <w:numPr>
          <w:ilvl w:val="0"/>
          <w:numId w:val="7"/>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Within 60 days after the error appeared on your statement.</w:t>
      </w:r>
    </w:p>
    <w:p w:rsidR="00B7036E" w:rsidRPr="00B7036E" w:rsidRDefault="00B7036E" w:rsidP="00B7036E">
      <w:pPr>
        <w:numPr>
          <w:ilvl w:val="0"/>
          <w:numId w:val="7"/>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At least 3 business days before an automated payment is scheduled, if you want to stop payment on the amount you think is wrong.</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must notify us of any potential errors </w:t>
      </w:r>
      <w:r w:rsidRPr="00B7036E">
        <w:rPr>
          <w:rFonts w:ascii="Arial" w:eastAsia="Times New Roman" w:hAnsi="Arial" w:cs="Arial"/>
          <w:b/>
          <w:bCs/>
          <w:i/>
          <w:iCs/>
          <w:color w:val="000000"/>
          <w:kern w:val="0"/>
          <w:sz w:val="15"/>
        </w:rPr>
        <w:t>in writing</w:t>
      </w:r>
      <w:r w:rsidRPr="00B7036E">
        <w:rPr>
          <w:rFonts w:ascii="Arial" w:eastAsia="Times New Roman" w:hAnsi="Arial" w:cs="Arial"/>
          <w:color w:val="000000"/>
          <w:kern w:val="0"/>
          <w:sz w:val="15"/>
          <w:szCs w:val="15"/>
        </w:rPr>
        <w:t>. You may call us, but if you do we are not required to investigate any potential errors and you may have to pay the amount in question.</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i/>
          <w:iCs/>
          <w:color w:val="000000"/>
          <w:kern w:val="0"/>
          <w:sz w:val="15"/>
        </w:rPr>
        <w:t>What Will Happen After We Receive Your Letter</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When we receive your letter, we must do two things</w:t>
      </w:r>
      <w:proofErr w:type="gramStart"/>
      <w:r w:rsidRPr="00B7036E">
        <w:rPr>
          <w:rFonts w:ascii="Arial" w:eastAsia="Times New Roman" w:hAnsi="Arial" w:cs="Arial"/>
          <w:color w:val="000000"/>
          <w:kern w:val="0"/>
          <w:sz w:val="15"/>
          <w:szCs w:val="15"/>
        </w:rPr>
        <w:t>:</w:t>
      </w:r>
      <w:proofErr w:type="gramEnd"/>
      <w:r w:rsidRPr="00B7036E">
        <w:rPr>
          <w:rFonts w:ascii="Arial" w:eastAsia="Times New Roman" w:hAnsi="Arial" w:cs="Arial"/>
          <w:color w:val="000000"/>
          <w:kern w:val="0"/>
          <w:sz w:val="15"/>
          <w:szCs w:val="15"/>
        </w:rPr>
        <w:br/>
        <w:t>1.     Within 30 days of receiving your letter, we must tell you that we received your letter. We will also tell you if we have already corrected the error.</w:t>
      </w:r>
      <w:r w:rsidRPr="00B7036E">
        <w:rPr>
          <w:rFonts w:ascii="Arial" w:eastAsia="Times New Roman" w:hAnsi="Arial" w:cs="Arial"/>
          <w:color w:val="000000"/>
          <w:kern w:val="0"/>
          <w:sz w:val="15"/>
          <w:szCs w:val="15"/>
        </w:rPr>
        <w:br/>
        <w:t>2.     Within 90 days of receiving your letter, we must either correct the error or explain to you why we believe the bill is correct.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While we investigate whether or not there has been an error:</w:t>
      </w:r>
    </w:p>
    <w:p w:rsidR="00B7036E" w:rsidRPr="00B7036E" w:rsidRDefault="00B7036E" w:rsidP="00B7036E">
      <w:pPr>
        <w:numPr>
          <w:ilvl w:val="0"/>
          <w:numId w:val="8"/>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We cannot try to collect the amount in question, or report you as delinquent on that amount.</w:t>
      </w:r>
    </w:p>
    <w:p w:rsidR="00B7036E" w:rsidRPr="00B7036E" w:rsidRDefault="00B7036E" w:rsidP="00B7036E">
      <w:pPr>
        <w:numPr>
          <w:ilvl w:val="0"/>
          <w:numId w:val="8"/>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The charge in question may remain on your statement, and we may continue to charge you interest on that amount.</w:t>
      </w:r>
    </w:p>
    <w:p w:rsidR="00B7036E" w:rsidRPr="00B7036E" w:rsidRDefault="00B7036E" w:rsidP="00B7036E">
      <w:pPr>
        <w:numPr>
          <w:ilvl w:val="0"/>
          <w:numId w:val="8"/>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While you do not have to pay the amount in question, you are responsible for the remainder of your balance.</w:t>
      </w:r>
    </w:p>
    <w:p w:rsidR="00B7036E" w:rsidRPr="00B7036E" w:rsidRDefault="00B7036E" w:rsidP="00B7036E">
      <w:pPr>
        <w:numPr>
          <w:ilvl w:val="0"/>
          <w:numId w:val="8"/>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We can apply any unpaid amount against your credit limit.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After we finish our investigation, one of two things will happen:</w:t>
      </w:r>
    </w:p>
    <w:p w:rsidR="00B7036E" w:rsidRPr="00B7036E" w:rsidRDefault="00B7036E" w:rsidP="00B7036E">
      <w:pPr>
        <w:numPr>
          <w:ilvl w:val="0"/>
          <w:numId w:val="9"/>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i/>
          <w:iCs/>
          <w:color w:val="000000"/>
          <w:kern w:val="0"/>
          <w:sz w:val="15"/>
        </w:rPr>
        <w:t>If we made a mistake</w:t>
      </w:r>
      <w:r w:rsidRPr="00B7036E">
        <w:rPr>
          <w:rFonts w:ascii="Arial" w:eastAsia="Times New Roman" w:hAnsi="Arial" w:cs="Arial"/>
          <w:b/>
          <w:bCs/>
          <w:color w:val="000000"/>
          <w:kern w:val="0"/>
          <w:sz w:val="15"/>
        </w:rPr>
        <w:t>:</w:t>
      </w:r>
      <w:r w:rsidRPr="00B7036E">
        <w:rPr>
          <w:rFonts w:ascii="Arial" w:eastAsia="Times New Roman" w:hAnsi="Arial" w:cs="Arial"/>
          <w:color w:val="000000"/>
          <w:kern w:val="0"/>
          <w:sz w:val="15"/>
          <w:szCs w:val="15"/>
        </w:rPr>
        <w:t> You will not have to pay the amount in question or any interest or other fees related to that amount.</w:t>
      </w:r>
    </w:p>
    <w:p w:rsidR="00B7036E" w:rsidRPr="00B7036E" w:rsidRDefault="00B7036E" w:rsidP="00B7036E">
      <w:pPr>
        <w:numPr>
          <w:ilvl w:val="0"/>
          <w:numId w:val="9"/>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i/>
          <w:iCs/>
          <w:color w:val="000000"/>
          <w:kern w:val="0"/>
          <w:sz w:val="15"/>
        </w:rPr>
        <w:t>If we do not believe there was a mistake</w:t>
      </w:r>
      <w:r w:rsidRPr="00B7036E">
        <w:rPr>
          <w:rFonts w:ascii="Arial" w:eastAsia="Times New Roman" w:hAnsi="Arial" w:cs="Arial"/>
          <w:b/>
          <w:bCs/>
          <w:color w:val="000000"/>
          <w:kern w:val="0"/>
          <w:sz w:val="15"/>
        </w:rPr>
        <w:t>:</w:t>
      </w:r>
      <w:r w:rsidRPr="00B7036E">
        <w:rPr>
          <w:rFonts w:ascii="Arial" w:eastAsia="Times New Roman" w:hAnsi="Arial" w:cs="Arial"/>
          <w:color w:val="000000"/>
          <w:kern w:val="0"/>
          <w:sz w:val="15"/>
          <w:szCs w:val="15"/>
        </w:rPr>
        <w:t> You will have to pay the amount in question, along with applicable interest and fees. We will send you a statement of the amount you owe and the date payment is due. We may then report you as delinquent if you do not pay the amount we think you owe.</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 receive our explanation but still believe your bill is wrong, you must write to us within</w:t>
      </w:r>
      <w:r w:rsidRPr="00B7036E">
        <w:rPr>
          <w:rFonts w:ascii="Arial" w:eastAsia="Times New Roman" w:hAnsi="Arial" w:cs="Arial"/>
          <w:i/>
          <w:iCs/>
          <w:color w:val="000000"/>
          <w:kern w:val="0"/>
          <w:sz w:val="15"/>
        </w:rPr>
        <w:t> </w:t>
      </w:r>
      <w:r w:rsidRPr="00B7036E">
        <w:rPr>
          <w:rFonts w:ascii="Arial" w:eastAsia="Times New Roman" w:hAnsi="Arial" w:cs="Arial"/>
          <w:b/>
          <w:bCs/>
          <w:i/>
          <w:iCs/>
          <w:color w:val="000000"/>
          <w:kern w:val="0"/>
          <w:sz w:val="15"/>
        </w:rPr>
        <w:t>10</w:t>
      </w:r>
      <w:r w:rsidRPr="00B7036E">
        <w:rPr>
          <w:rFonts w:ascii="Arial" w:eastAsia="Times New Roman" w:hAnsi="Arial" w:cs="Arial"/>
          <w:b/>
          <w:bCs/>
          <w:color w:val="000000"/>
          <w:kern w:val="0"/>
          <w:sz w:val="15"/>
        </w:rPr>
        <w:t> </w:t>
      </w:r>
      <w:r w:rsidRPr="00B7036E">
        <w:rPr>
          <w:rFonts w:ascii="Arial" w:eastAsia="Times New Roman" w:hAnsi="Arial" w:cs="Arial"/>
          <w:b/>
          <w:bCs/>
          <w:i/>
          <w:iCs/>
          <w:color w:val="000000"/>
          <w:kern w:val="0"/>
          <w:sz w:val="15"/>
        </w:rPr>
        <w:t>days</w:t>
      </w:r>
      <w:r w:rsidRPr="00B7036E">
        <w:rPr>
          <w:rFonts w:ascii="Arial" w:eastAsia="Times New Roman" w:hAnsi="Arial" w:cs="Arial"/>
          <w:color w:val="000000"/>
          <w:kern w:val="0"/>
          <w:sz w:val="15"/>
          <w:szCs w:val="15"/>
        </w:rPr>
        <w:t xml:space="preserve"> telling us that you still refuse to pay. If you do so, we cannot report you as delinquent without also reporting that you are questioning your bill. We must tell you the name of anyone </w:t>
      </w:r>
      <w:proofErr w:type="gramStart"/>
      <w:r w:rsidRPr="00B7036E">
        <w:rPr>
          <w:rFonts w:ascii="Arial" w:eastAsia="Times New Roman" w:hAnsi="Arial" w:cs="Arial"/>
          <w:color w:val="000000"/>
          <w:kern w:val="0"/>
          <w:sz w:val="15"/>
          <w:szCs w:val="15"/>
        </w:rPr>
        <w:t>to</w:t>
      </w:r>
      <w:proofErr w:type="gramEnd"/>
      <w:r w:rsidRPr="00B7036E">
        <w:rPr>
          <w:rFonts w:ascii="Arial" w:eastAsia="Times New Roman" w:hAnsi="Arial" w:cs="Arial"/>
          <w:color w:val="000000"/>
          <w:kern w:val="0"/>
          <w:sz w:val="15"/>
          <w:szCs w:val="15"/>
        </w:rPr>
        <w:t xml:space="preserve"> whom we reported you as delinquent, and we must let those organizations know when the matter has been settled between us.</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we do not follow all of the rules above, you do not have to pay the first $50 of the amount you question even if your bill is correct.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b/>
          <w:bCs/>
          <w:i/>
          <w:iCs/>
          <w:color w:val="000000"/>
          <w:kern w:val="0"/>
          <w:sz w:val="15"/>
        </w:rPr>
        <w:t>Your</w:t>
      </w:r>
      <w:proofErr w:type="gramEnd"/>
      <w:r w:rsidRPr="00B7036E">
        <w:rPr>
          <w:rFonts w:ascii="Arial" w:eastAsia="Times New Roman" w:hAnsi="Arial" w:cs="Arial"/>
          <w:b/>
          <w:bCs/>
          <w:i/>
          <w:iCs/>
          <w:color w:val="000000"/>
          <w:kern w:val="0"/>
          <w:sz w:val="15"/>
        </w:rPr>
        <w:t xml:space="preserve"> Rights If You Are Dissatisfied With Your Credit Card Purchases</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xml:space="preserve">If you are dissatisfied with the goods or services that you have purchased with your credit </w:t>
      </w:r>
      <w:proofErr w:type="gramStart"/>
      <w:r w:rsidRPr="00B7036E">
        <w:rPr>
          <w:rFonts w:ascii="Arial" w:eastAsia="Times New Roman" w:hAnsi="Arial" w:cs="Arial"/>
          <w:color w:val="000000"/>
          <w:kern w:val="0"/>
          <w:sz w:val="15"/>
          <w:szCs w:val="15"/>
        </w:rPr>
        <w:t>card,</w:t>
      </w:r>
      <w:proofErr w:type="gramEnd"/>
      <w:r w:rsidRPr="00B7036E">
        <w:rPr>
          <w:rFonts w:ascii="Arial" w:eastAsia="Times New Roman" w:hAnsi="Arial" w:cs="Arial"/>
          <w:color w:val="000000"/>
          <w:kern w:val="0"/>
          <w:sz w:val="15"/>
          <w:szCs w:val="15"/>
        </w:rPr>
        <w:t xml:space="preserve"> and you have tried in good faith to correct the problem with the merchant, you may have the right not to pay the remaining amount due on the purchase.</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To use this right, all of the following must be true: </w:t>
      </w:r>
    </w:p>
    <w:p w:rsidR="00B7036E" w:rsidRPr="00B7036E" w:rsidRDefault="00B7036E" w:rsidP="00B7036E">
      <w:pPr>
        <w:numPr>
          <w:ilvl w:val="0"/>
          <w:numId w:val="10"/>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The purchase must have been made in your home state or within 100 miles of your current mailing address, and the purchase price must have been more than $50. (Note: Neither of these are necessary if your purchase was based on an advertisement we mailed to you, or if we own the company that sold you the goods or services).</w:t>
      </w:r>
    </w:p>
    <w:p w:rsidR="00B7036E" w:rsidRPr="00B7036E" w:rsidRDefault="00B7036E" w:rsidP="00B7036E">
      <w:pPr>
        <w:numPr>
          <w:ilvl w:val="0"/>
          <w:numId w:val="10"/>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lastRenderedPageBreak/>
        <w:t>You must have used your credit card for the purchase. Purchases made with cash advances from an ATM or with a check that accesses your credit card account do not qualify.</w:t>
      </w:r>
    </w:p>
    <w:p w:rsidR="00B7036E" w:rsidRPr="00B7036E" w:rsidRDefault="00B7036E" w:rsidP="00B7036E">
      <w:pPr>
        <w:numPr>
          <w:ilvl w:val="0"/>
          <w:numId w:val="10"/>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must not yet have fully paid for the purchase.</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all of the criteria above are met and you are still dissatisfied with the purchase, contact us</w:t>
      </w:r>
      <w:r w:rsidRPr="00B7036E">
        <w:rPr>
          <w:rFonts w:ascii="Arial" w:eastAsia="Times New Roman" w:hAnsi="Arial" w:cs="Arial"/>
          <w:i/>
          <w:iCs/>
          <w:color w:val="000000"/>
          <w:kern w:val="0"/>
          <w:sz w:val="15"/>
        </w:rPr>
        <w:t> </w:t>
      </w:r>
      <w:r w:rsidRPr="00B7036E">
        <w:rPr>
          <w:rFonts w:ascii="Arial" w:eastAsia="Times New Roman" w:hAnsi="Arial" w:cs="Arial"/>
          <w:b/>
          <w:bCs/>
          <w:i/>
          <w:iCs/>
          <w:color w:val="000000"/>
          <w:kern w:val="0"/>
          <w:sz w:val="15"/>
        </w:rPr>
        <w:t>in writing</w:t>
      </w:r>
      <w:r w:rsidRPr="00B7036E">
        <w:rPr>
          <w:rFonts w:ascii="Arial" w:eastAsia="Times New Roman" w:hAnsi="Arial" w:cs="Arial"/>
          <w:color w:val="000000"/>
          <w:kern w:val="0"/>
          <w:sz w:val="15"/>
          <w:szCs w:val="15"/>
        </w:rPr>
        <w:t> at:</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Card Services</w:t>
      </w:r>
      <w:r w:rsidRPr="00B7036E">
        <w:rPr>
          <w:rFonts w:ascii="Arial" w:eastAsia="Times New Roman" w:hAnsi="Arial" w:cs="Arial"/>
          <w:color w:val="000000"/>
          <w:kern w:val="0"/>
          <w:sz w:val="15"/>
          <w:szCs w:val="15"/>
        </w:rPr>
        <w:br/>
        <w:t>P.O. Box 8802</w:t>
      </w:r>
      <w:r w:rsidRPr="00B7036E">
        <w:rPr>
          <w:rFonts w:ascii="Arial" w:eastAsia="Times New Roman" w:hAnsi="Arial" w:cs="Arial"/>
          <w:color w:val="000000"/>
          <w:kern w:val="0"/>
          <w:sz w:val="15"/>
          <w:szCs w:val="15"/>
        </w:rPr>
        <w:br/>
        <w:t>Wilmington, DE 19899-8802.</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While we investigate, the same rules apply to the disputed amount as discussed above. After we finish our investigation, we will tell you our decision. At that point, if we think you owe an amount and you do not pay, we may report you as delinquent.</w:t>
      </w:r>
    </w:p>
    <w:p w:rsidR="00B7036E" w:rsidRPr="00B7036E" w:rsidRDefault="00B7036E" w:rsidP="00B7036E">
      <w:pPr>
        <w:spacing w:after="0" w:line="240" w:lineRule="auto"/>
        <w:rPr>
          <w:rFonts w:ascii="Times New Roman" w:eastAsia="Times New Roman" w:hAnsi="Times New Roman" w:cs="Times New Roman"/>
          <w:kern w:val="0"/>
          <w:sz w:val="24"/>
          <w:szCs w:val="24"/>
        </w:rPr>
      </w:pPr>
      <w:r w:rsidRPr="00B7036E">
        <w:rPr>
          <w:rFonts w:ascii="Arial" w:eastAsia="Times New Roman" w:hAnsi="Arial" w:cs="Arial"/>
          <w:color w:val="000000"/>
          <w:kern w:val="0"/>
          <w:sz w:val="15"/>
          <w:szCs w:val="15"/>
        </w:rPr>
        <w:t>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u w:val="single"/>
        </w:rPr>
        <w:t>Information That We Collect &amp; Share About You</w:t>
      </w:r>
      <w:proofErr w:type="gramStart"/>
      <w:r w:rsidRPr="00B7036E">
        <w:rPr>
          <w:rFonts w:ascii="Arial" w:eastAsia="Times New Roman" w:hAnsi="Arial" w:cs="Arial"/>
          <w:b/>
          <w:bCs/>
          <w:color w:val="000000"/>
          <w:kern w:val="0"/>
          <w:sz w:val="15"/>
          <w:u w:val="single"/>
        </w:rPr>
        <w:t>:</w:t>
      </w:r>
      <w:proofErr w:type="gramEnd"/>
      <w:r w:rsidRPr="00B7036E">
        <w:rPr>
          <w:rFonts w:ascii="Arial" w:eastAsia="Times New Roman" w:hAnsi="Arial" w:cs="Arial"/>
          <w:color w:val="000000"/>
          <w:kern w:val="0"/>
          <w:sz w:val="15"/>
          <w:szCs w:val="15"/>
        </w:rPr>
        <w:br/>
        <w:t>Barclays' Privacy Policy is available online at www.BarclaysUS.com. You agree that Wyndham and Barclays may share information about you and your account to administer the Wyndham Rewards Program in conjunction with the Wyndham Rewards Earner</w:t>
      </w:r>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Card.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xml:space="preserve">You agree that as a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you may be auto enrolled in the Dine Out with Wyndham Rewards program, which is subject to the Dine Out with Wyndham Rewards terms and conditions available online at dineout.wyndhamrewards.com. Dine Out with Wyndham Rewards program is administered by Reward Network Establishment Services Inc. and not Wyndham; terms of use can be viewed at support.dineout.wyndhamrewards.com.</w:t>
      </w:r>
    </w:p>
    <w:p w:rsidR="00B7036E" w:rsidRPr="00B7036E" w:rsidRDefault="00B7036E" w:rsidP="00B7036E">
      <w:p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26"/>
        </w:rPr>
        <w:t>WYNDHAM REWARDS EARNER</w:t>
      </w:r>
      <w:r w:rsidRPr="00B7036E">
        <w:rPr>
          <w:rFonts w:ascii="Arial" w:eastAsia="Times New Roman" w:hAnsi="Arial" w:cs="Arial"/>
          <w:b/>
          <w:bCs/>
          <w:color w:val="000000"/>
          <w:kern w:val="0"/>
          <w:sz w:val="26"/>
          <w:vertAlign w:val="superscript"/>
        </w:rPr>
        <w:t>®</w:t>
      </w:r>
      <w:r w:rsidRPr="00B7036E">
        <w:rPr>
          <w:rFonts w:ascii="Arial" w:eastAsia="Times New Roman" w:hAnsi="Arial" w:cs="Arial"/>
          <w:b/>
          <w:bCs/>
          <w:color w:val="000000"/>
          <w:kern w:val="0"/>
          <w:sz w:val="26"/>
        </w:rPr>
        <w:t> CARD ACCOUNT REWARD RULES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This document contains the official reward rules for the Wyndham Rewards Earner</w:t>
      </w:r>
      <w:r w:rsidRPr="00B7036E">
        <w:rPr>
          <w:rFonts w:ascii="Arial" w:eastAsia="Times New Roman" w:hAnsi="Arial" w:cs="Arial"/>
          <w:b/>
          <w:bCs/>
          <w:color w:val="000000"/>
          <w:kern w:val="0"/>
          <w:sz w:val="15"/>
          <w:vertAlign w:val="superscript"/>
        </w:rPr>
        <w:t>®</w:t>
      </w:r>
      <w:r w:rsidRPr="00B7036E">
        <w:rPr>
          <w:rFonts w:ascii="Arial" w:eastAsia="Times New Roman" w:hAnsi="Arial" w:cs="Arial"/>
          <w:color w:val="000000"/>
          <w:kern w:val="0"/>
          <w:sz w:val="15"/>
          <w:szCs w:val="15"/>
        </w:rPr>
        <w:t xml:space="preserve"> Card account ("Card Account") issued by Barclays Bank Delaware ("Barclays", "we", "us", or "our") and includes important conditions and limitations ("Card Account Reward Rules"). Use of your Card Account constitutes your acceptance of each of the terms described below and the terms of the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 "You", "your" or "primary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means the person who applied for the Card Account. Capitalized terms not defined in these Card Account Reward Rules have the meaning ascribed to them in the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Barclays is solely responsible for establishing these Card Account Reward Rules and for communicating with Wyndham Rewards, Inc., as described below to administer the Card Account Reward Rules. Certain of the Card Account benefits are fulfilled under the Wyndham Rewards program (the “Wyndham Rewards Program” or “Program”), which is a loyalty program offered by Wyndham Rewards, Inc., and is not a product or program of Barclays.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Wyndham Rewards, Inc. is an indirect subsidiary of Wyndham Hotel Group, LLC and its successors and assigns (collectively, “Wyndham”). Wyndham Rewards, Inc. is solely responsible for establishing the terms and conditions of your participation in the Wyndham Rewards Program, Wyndham Rewards member account (“Member Account”), and Wyndham Rewards points (“Points”) accumulation therein. All Wyndham Rewards Program terms and conditions apply. Wyndham Rewards, Inc. may change or terminate the Wyndham Rewards Program in accordance with its terms and conditions. For a complete explanation of the Wyndham Rewards Program’s terms and conditions, go to WyndhamRewards.com/terms.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Card Account Reward Rules Administration</w:t>
      </w:r>
      <w:r w:rsidRPr="00B7036E">
        <w:rPr>
          <w:rFonts w:ascii="Arial" w:eastAsia="Times New Roman" w:hAnsi="Arial" w:cs="Arial"/>
          <w:b/>
          <w:bCs/>
          <w:color w:val="000000"/>
          <w:kern w:val="0"/>
          <w:sz w:val="15"/>
          <w:szCs w:val="15"/>
        </w:rPr>
        <w:br/>
      </w:r>
      <w:proofErr w:type="gramStart"/>
      <w:r w:rsidRPr="00B7036E">
        <w:rPr>
          <w:rFonts w:ascii="Arial" w:eastAsia="Times New Roman" w:hAnsi="Arial" w:cs="Arial"/>
          <w:color w:val="000000"/>
          <w:kern w:val="0"/>
          <w:sz w:val="15"/>
          <w:szCs w:val="15"/>
        </w:rPr>
        <w:t>The</w:t>
      </w:r>
      <w:proofErr w:type="gramEnd"/>
      <w:r w:rsidRPr="00B7036E">
        <w:rPr>
          <w:rFonts w:ascii="Arial" w:eastAsia="Times New Roman" w:hAnsi="Arial" w:cs="Arial"/>
          <w:color w:val="000000"/>
          <w:kern w:val="0"/>
          <w:sz w:val="15"/>
          <w:szCs w:val="15"/>
        </w:rPr>
        <w:t xml:space="preserve"> Card Account Reward Rules are administered by Barclays located in Wilmington, DE. We reserve the right to modify, amend or terminate the Card Account Reward Rules at any time with or without notice. You can review current Card Account Reward Rules any time by logging in to your Card Account at BarclaysUS.com.</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To maintain your eligibility for participation in the Program through use of the Card Account:</w:t>
      </w:r>
    </w:p>
    <w:p w:rsidR="00B7036E" w:rsidRPr="00B7036E" w:rsidRDefault="00B7036E" w:rsidP="00B7036E">
      <w:pPr>
        <w:numPr>
          <w:ilvl w:val="0"/>
          <w:numId w:val="11"/>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xml:space="preserve">You must maintain an open Card Account that is in good standing. “Good Standing” means your Card Account is not in default under your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 with us (in “Good Standing”).</w:t>
      </w:r>
    </w:p>
    <w:p w:rsidR="00B7036E" w:rsidRPr="00B7036E" w:rsidRDefault="00B7036E" w:rsidP="00B7036E">
      <w:pPr>
        <w:numPr>
          <w:ilvl w:val="0"/>
          <w:numId w:val="11"/>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must be an individual (corporations, partnerships, and other entities may not participate) and use the Card Account only for personal, family or household expenses.</w:t>
      </w:r>
    </w:p>
    <w:p w:rsidR="00B7036E" w:rsidRPr="00B7036E" w:rsidRDefault="00B7036E" w:rsidP="00B7036E">
      <w:pPr>
        <w:numPr>
          <w:ilvl w:val="0"/>
          <w:numId w:val="11"/>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your participation in the Program is canceled any Points earned during that billing cycle but not yet sent to Wyndham may be forfeited. See WyndhamRewards.com/terms for details.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Wyndham Rewards Membership</w:t>
      </w:r>
    </w:p>
    <w:p w:rsidR="00B7036E" w:rsidRPr="00B7036E" w:rsidRDefault="00B7036E" w:rsidP="00B7036E">
      <w:pPr>
        <w:numPr>
          <w:ilvl w:val="0"/>
          <w:numId w:val="12"/>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your existing Wyndham Rewards Member Account number was included in the application, you are already enrolled in the Program. Points earned through the Card Account will be credited to your Wyndham Rewards Member Account.</w:t>
      </w:r>
    </w:p>
    <w:p w:rsidR="00B7036E" w:rsidRPr="00B7036E" w:rsidRDefault="00B7036E" w:rsidP="00B7036E">
      <w:pPr>
        <w:numPr>
          <w:ilvl w:val="0"/>
          <w:numId w:val="12"/>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lastRenderedPageBreak/>
        <w:t>If the Wyndham Rewards Member Account number that you provided is found to be invalid, or you did not provide us with the Wyndham Rewards Member Account number, you consent to and will be enrolled in the Program and a new Wyndham Rewards Member Account number will be assigned to you.</w:t>
      </w:r>
    </w:p>
    <w:p w:rsidR="00B7036E" w:rsidRPr="00B7036E" w:rsidRDefault="00B7036E" w:rsidP="00B7036E">
      <w:pPr>
        <w:numPr>
          <w:ilvl w:val="0"/>
          <w:numId w:val="12"/>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Only one Wyndham Rewards Member Account number will be applied per Card Account.</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Wyndham Membership Level Benefits</w:t>
      </w:r>
      <w:r w:rsidRPr="00B7036E">
        <w:rPr>
          <w:rFonts w:ascii="Arial" w:eastAsia="Times New Roman" w:hAnsi="Arial" w:cs="Arial"/>
          <w:b/>
          <w:bCs/>
          <w:color w:val="000000"/>
          <w:kern w:val="0"/>
          <w:sz w:val="15"/>
          <w:szCs w:val="15"/>
        </w:rPr>
        <w:br/>
      </w:r>
      <w:proofErr w:type="gramStart"/>
      <w:r w:rsidRPr="00B7036E">
        <w:rPr>
          <w:rFonts w:ascii="Arial" w:eastAsia="Times New Roman" w:hAnsi="Arial" w:cs="Arial"/>
          <w:color w:val="000000"/>
          <w:kern w:val="0"/>
          <w:sz w:val="15"/>
          <w:szCs w:val="15"/>
        </w:rPr>
        <w:t>The</w:t>
      </w:r>
      <w:proofErr w:type="gramEnd"/>
      <w:r w:rsidRPr="00B7036E">
        <w:rPr>
          <w:rFonts w:ascii="Arial" w:eastAsia="Times New Roman" w:hAnsi="Arial" w:cs="Arial"/>
          <w:color w:val="000000"/>
          <w:kern w:val="0"/>
          <w:sz w:val="15"/>
          <w:szCs w:val="15"/>
        </w:rPr>
        <w:t xml:space="preserve"> primary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will receive Wyndham Rewards Gold Level in his or her Wyndham Rewards Program membership. This benefit is not available to authorized users through the Wyndham Rewards Earner</w:t>
      </w:r>
      <w:r w:rsidRPr="00B7036E">
        <w:rPr>
          <w:rFonts w:ascii="Arial" w:eastAsia="Times New Roman" w:hAnsi="Arial" w:cs="Arial"/>
          <w:b/>
          <w:bCs/>
          <w:color w:val="000000"/>
          <w:kern w:val="0"/>
          <w:sz w:val="15"/>
          <w:vertAlign w:val="superscript"/>
        </w:rPr>
        <w:t>®</w:t>
      </w:r>
      <w:r w:rsidRPr="00B7036E">
        <w:rPr>
          <w:rFonts w:ascii="Arial" w:eastAsia="Times New Roman" w:hAnsi="Arial" w:cs="Arial"/>
          <w:color w:val="000000"/>
          <w:kern w:val="0"/>
          <w:sz w:val="15"/>
          <w:szCs w:val="15"/>
        </w:rPr>
        <w:t xml:space="preserve"> Card. Please allow 2-8 weeks after Card Account opening for this update to be made to the primary </w:t>
      </w:r>
      <w:proofErr w:type="spellStart"/>
      <w:r w:rsidRPr="00B7036E">
        <w:rPr>
          <w:rFonts w:ascii="Arial" w:eastAsia="Times New Roman" w:hAnsi="Arial" w:cs="Arial"/>
          <w:color w:val="000000"/>
          <w:kern w:val="0"/>
          <w:sz w:val="15"/>
          <w:szCs w:val="15"/>
        </w:rPr>
        <w:t>cardmember’s</w:t>
      </w:r>
      <w:proofErr w:type="spellEnd"/>
      <w:r w:rsidRPr="00B7036E">
        <w:rPr>
          <w:rFonts w:ascii="Arial" w:eastAsia="Times New Roman" w:hAnsi="Arial" w:cs="Arial"/>
          <w:color w:val="000000"/>
          <w:kern w:val="0"/>
          <w:sz w:val="15"/>
          <w:szCs w:val="15"/>
        </w:rPr>
        <w:t xml:space="preserve"> Wyndham Rewards Program membership. Subject to the Wyndham Rewards Terms &amp; Conditions, the primary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will continue to receive Wyndham Rewards Gold Level through the Wyndham Rewards Earner</w:t>
      </w:r>
      <w:r w:rsidRPr="00B7036E">
        <w:rPr>
          <w:rFonts w:ascii="Arial" w:eastAsia="Times New Roman" w:hAnsi="Arial" w:cs="Arial"/>
          <w:b/>
          <w:bCs/>
          <w:color w:val="000000"/>
          <w:kern w:val="0"/>
          <w:sz w:val="15"/>
          <w:vertAlign w:val="superscript"/>
        </w:rPr>
        <w:t>®</w:t>
      </w:r>
      <w:r w:rsidRPr="00B7036E">
        <w:rPr>
          <w:rFonts w:ascii="Arial" w:eastAsia="Times New Roman" w:hAnsi="Arial" w:cs="Arial"/>
          <w:color w:val="000000"/>
          <w:kern w:val="0"/>
          <w:sz w:val="15"/>
          <w:szCs w:val="15"/>
        </w:rPr>
        <w:t> Card as long as the Card Account is open and in Good Standing. You can achieve other Wyndham Rewards Program levels by meeting Wyndham Rewards Program eligibility requirements. Wyndham reserves the right to change or cancel the member level program and benefits at any time with or without notice. For details on the Terms and Conditions of the Wyndham Rewards Program levels and benefits, please visit WyndhamRewards.com/levels.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Important Information about Points</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As long as the Program continues and the Card Account is open and in Good Standing, there is no limit to the total Points you can earn using your Card Account.</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may not earn Points during any period in which your Card Account is past due.</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xml:space="preserve">All Points earned by the primary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and any authorized user(s), through use of the Card Account, will be transferred to the primary </w:t>
      </w:r>
      <w:proofErr w:type="spellStart"/>
      <w:r w:rsidRPr="00B7036E">
        <w:rPr>
          <w:rFonts w:ascii="Arial" w:eastAsia="Times New Roman" w:hAnsi="Arial" w:cs="Arial"/>
          <w:color w:val="000000"/>
          <w:kern w:val="0"/>
          <w:sz w:val="15"/>
          <w:szCs w:val="15"/>
        </w:rPr>
        <w:t>cardmember’s</w:t>
      </w:r>
      <w:proofErr w:type="spellEnd"/>
      <w:r w:rsidRPr="00B7036E">
        <w:rPr>
          <w:rFonts w:ascii="Arial" w:eastAsia="Times New Roman" w:hAnsi="Arial" w:cs="Arial"/>
          <w:color w:val="000000"/>
          <w:kern w:val="0"/>
          <w:sz w:val="15"/>
          <w:szCs w:val="15"/>
        </w:rPr>
        <w:t xml:space="preserve"> Program account after the close of each Card Account billing statement. Your Program account is subject to the Program terms and conditions, located at WyndhamRewards.com/terms, which includes expiration and forfeiture policies.</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If you do not receive credit for earned Points through use of your Card Account, please contact the Customer Service number on the back of your credit card.</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have no property rights or other legal interest in Points. Points have no cash value or value of any kind until they are fully redeemed. Points may not be assigned or transferred.</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are responsible for any tax liability related to participating in the Program.</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Participation in the Program through use of your Card Account is subject to all applicable laws and regulations. The sale or barter of any Points offered through the Program earned through use of the Card Account, other than by us or Wyndham, is expressly prohibited.</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can view a summary of your Points earned through the use of your Card Account on your monthly Card Account billing statement or by logging into BarclaysUS.com. Your total Program account Points balance is available by calling 866-370-0728 or online at WyndhamRewards.com.</w:t>
      </w:r>
    </w:p>
    <w:p w:rsidR="00B7036E" w:rsidRPr="00B7036E" w:rsidRDefault="00B7036E" w:rsidP="00B7036E">
      <w:pPr>
        <w:numPr>
          <w:ilvl w:val="0"/>
          <w:numId w:val="13"/>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Barclays is not responsible for adding the Points to your Program account, for arranging or providing for any goods or services related to the use of Points, for any delay, failure, or refusal by Wyndham to add or redeem Points, or for any decision by Wyndham to revoke or cancel Points or membership in the Program. Once we transfer Points earned through use of the Card Account after the close of each Card Account billing cycle, Wyndham is responsible for adding the Points to your Program account.</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Earning Points</w:t>
      </w:r>
      <w:r w:rsidRPr="00B7036E">
        <w:rPr>
          <w:rFonts w:ascii="Arial" w:eastAsia="Times New Roman" w:hAnsi="Arial" w:cs="Arial"/>
          <w:b/>
          <w:bCs/>
          <w:color w:val="000000"/>
          <w:kern w:val="0"/>
          <w:sz w:val="15"/>
          <w:szCs w:val="15"/>
        </w:rPr>
        <w:br/>
      </w:r>
      <w:proofErr w:type="gramStart"/>
      <w:r w:rsidRPr="00B7036E">
        <w:rPr>
          <w:rFonts w:ascii="Arial" w:eastAsia="Times New Roman" w:hAnsi="Arial" w:cs="Arial"/>
          <w:color w:val="000000"/>
          <w:kern w:val="0"/>
          <w:sz w:val="15"/>
          <w:szCs w:val="15"/>
        </w:rPr>
        <w:t>You</w:t>
      </w:r>
      <w:proofErr w:type="gramEnd"/>
      <w:r w:rsidRPr="00B7036E">
        <w:rPr>
          <w:rFonts w:ascii="Arial" w:eastAsia="Times New Roman" w:hAnsi="Arial" w:cs="Arial"/>
          <w:color w:val="000000"/>
          <w:kern w:val="0"/>
          <w:sz w:val="15"/>
          <w:szCs w:val="15"/>
        </w:rPr>
        <w:t xml:space="preserve"> earn Points for purchases less credits, returns and adjustments (“Net Purchases”) made by you and/or any authorized user(s) of the Card Account as follows:</w:t>
      </w:r>
    </w:p>
    <w:p w:rsidR="00B7036E" w:rsidRPr="00B7036E" w:rsidRDefault="00B7036E" w:rsidP="00B7036E">
      <w:pPr>
        <w:numPr>
          <w:ilvl w:val="0"/>
          <w:numId w:val="14"/>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earn 5 Points for every $1 spent on eligible Net Purchases made with the Card Account at Hotels by Wyndham (“Hotels by Wyndham”) (e.g., those purchases that appear on your folio for the stay). For more information, please call Wyndham Rewards Member Services at 866-370-</w:t>
      </w:r>
      <w:proofErr w:type="gramStart"/>
      <w:r w:rsidRPr="00B7036E">
        <w:rPr>
          <w:rFonts w:ascii="Arial" w:eastAsia="Times New Roman" w:hAnsi="Arial" w:cs="Arial"/>
          <w:color w:val="000000"/>
          <w:kern w:val="0"/>
          <w:sz w:val="15"/>
          <w:szCs w:val="15"/>
        </w:rPr>
        <w:t>0728 .</w:t>
      </w:r>
      <w:proofErr w:type="gramEnd"/>
    </w:p>
    <w:p w:rsidR="00B7036E" w:rsidRPr="00B7036E" w:rsidRDefault="00B7036E" w:rsidP="00B7036E">
      <w:pPr>
        <w:numPr>
          <w:ilvl w:val="0"/>
          <w:numId w:val="14"/>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earn 5 Points for every $1 spent on eligible Net Purchases made with the Card Account on gas. Qualifying gas purchases are defined as automated fuel dispensers and service stations, as identified by the merchant category codes.</w:t>
      </w:r>
    </w:p>
    <w:p w:rsidR="00B7036E" w:rsidRPr="00B7036E" w:rsidRDefault="00B7036E" w:rsidP="00B7036E">
      <w:pPr>
        <w:numPr>
          <w:ilvl w:val="0"/>
          <w:numId w:val="14"/>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earn 2 Points for every $1 spent on eligible Net Purchases made with the Card Account at participating Club Wyndham</w:t>
      </w:r>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xml:space="preserve">, </w:t>
      </w:r>
      <w:proofErr w:type="spellStart"/>
      <w:r w:rsidRPr="00B7036E">
        <w:rPr>
          <w:rFonts w:ascii="Arial" w:eastAsia="Times New Roman" w:hAnsi="Arial" w:cs="Arial"/>
          <w:color w:val="000000"/>
          <w:kern w:val="0"/>
          <w:sz w:val="15"/>
          <w:szCs w:val="15"/>
        </w:rPr>
        <w:t>WorldMark</w:t>
      </w:r>
      <w:proofErr w:type="spellEnd"/>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by Wyndham and Shell Vacations Club</w:t>
      </w:r>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xml:space="preserve"> properties (e.g., those purchases that appear on your folio for the stay); on eligible maintenance fee payments related to Club Wyndham, </w:t>
      </w:r>
      <w:proofErr w:type="spellStart"/>
      <w:r w:rsidRPr="00B7036E">
        <w:rPr>
          <w:rFonts w:ascii="Arial" w:eastAsia="Times New Roman" w:hAnsi="Arial" w:cs="Arial"/>
          <w:color w:val="000000"/>
          <w:kern w:val="0"/>
          <w:sz w:val="15"/>
          <w:szCs w:val="15"/>
        </w:rPr>
        <w:t>WorldMark</w:t>
      </w:r>
      <w:proofErr w:type="spellEnd"/>
      <w:r w:rsidRPr="00B7036E">
        <w:rPr>
          <w:rFonts w:ascii="Arial" w:eastAsia="Times New Roman" w:hAnsi="Arial" w:cs="Arial"/>
          <w:color w:val="000000"/>
          <w:kern w:val="0"/>
          <w:sz w:val="15"/>
          <w:szCs w:val="15"/>
        </w:rPr>
        <w:t xml:space="preserve"> by Wyndham and Shell Vacations Club accounts; and on eligible timeshare loan payments to Wyndham Vacation Resorts, Inc., Wyndham Resort Development Corporation, Shell Vacations, LLC, and related developer affiliates and partners. For more information on Wyndham Destinations, including an overview of resorts, please visit WyndhamDestination.com.</w:t>
      </w:r>
    </w:p>
    <w:p w:rsidR="00B7036E" w:rsidRPr="00B7036E" w:rsidRDefault="00B7036E" w:rsidP="00B7036E">
      <w:pPr>
        <w:numPr>
          <w:ilvl w:val="0"/>
          <w:numId w:val="14"/>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earn 2 Points for every $1 spent on eligible Net Purchases made with the Card Account at restaurants and grocery stores (excluding Target</w:t>
      </w:r>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xml:space="preserve"> and </w:t>
      </w:r>
      <w:proofErr w:type="spellStart"/>
      <w:r w:rsidRPr="00B7036E">
        <w:rPr>
          <w:rFonts w:ascii="Arial" w:eastAsia="Times New Roman" w:hAnsi="Arial" w:cs="Arial"/>
          <w:color w:val="000000"/>
          <w:kern w:val="0"/>
          <w:sz w:val="15"/>
          <w:szCs w:val="15"/>
        </w:rPr>
        <w:t>Walmart</w:t>
      </w:r>
      <w:proofErr w:type="spellEnd"/>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Qualifying restaurant purchases are defined as: Restaurants and Fast Food restaurants, as identified by the merchant category codes. Qualifying grocery store purchases are defined as grocery stores, as identified by the merchant category codes, excluding Target</w:t>
      </w:r>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xml:space="preserve"> and </w:t>
      </w:r>
      <w:proofErr w:type="spellStart"/>
      <w:r w:rsidRPr="00B7036E">
        <w:rPr>
          <w:rFonts w:ascii="Arial" w:eastAsia="Times New Roman" w:hAnsi="Arial" w:cs="Arial"/>
          <w:color w:val="000000"/>
          <w:kern w:val="0"/>
          <w:sz w:val="15"/>
          <w:szCs w:val="15"/>
        </w:rPr>
        <w:t>Walmart</w:t>
      </w:r>
      <w:proofErr w:type="spellEnd"/>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Please note some merchants that sell grocery items are not included in this category. For example, warehouse clubs, drug stores, discount stores and merchants that sell a limited number of grocery items are not included.</w:t>
      </w:r>
    </w:p>
    <w:p w:rsidR="00B7036E" w:rsidRPr="00B7036E" w:rsidRDefault="00B7036E" w:rsidP="00B7036E">
      <w:pPr>
        <w:numPr>
          <w:ilvl w:val="0"/>
          <w:numId w:val="14"/>
        </w:numPr>
        <w:spacing w:beforeAutospacing="1" w:after="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earn 1 Point for every $1 spent on all other Net Purchases, excluding timeshare down payment purchases to Wyndham Vacation Resorts, Inc., Wyndham Resort Development Corporation, Shell Vacations, LLC, and related developer affiliates and partners. For more information on Wyndham Destinations, including an overview of resorts, please visit WyndhamDestinations.com.</w:t>
      </w:r>
    </w:p>
    <w:p w:rsidR="00B7036E" w:rsidRPr="00B7036E" w:rsidRDefault="00B7036E" w:rsidP="00B7036E">
      <w:pPr>
        <w:numPr>
          <w:ilvl w:val="0"/>
          <w:numId w:val="14"/>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lastRenderedPageBreak/>
        <w:t>Purchases must be submitted by merchants using the merchant category codes for purchases in the above specified categories to qualify for the additional Points. Barclays and Wyndham Rewards, Inc. are not responsible for incorrectly coded purchases. Additional Points may not be earned if the merchant submits the purchase using a mobile or wireless card reader or if you use a mobile or digital wallet to pay for the purchase. Additionally, purchases made through third parties, including online marketplaces and resellers, or using a third-party payment account will not earn additional Points.</w:t>
      </w:r>
    </w:p>
    <w:p w:rsidR="00B7036E" w:rsidRPr="00B7036E" w:rsidRDefault="00B7036E" w:rsidP="00B7036E">
      <w:pPr>
        <w:numPr>
          <w:ilvl w:val="0"/>
          <w:numId w:val="14"/>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Balance transfers, cash advances (including cash equivalent transactions such as, but not limited to, the use of your Card Account to obtain money orders, traveler’s checks, foreign currency and lottery tickets), fees, interest charges and unauthorized/fraudulent purchases are not considered Net Purchases and do not earn Points.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Bonus Points</w:t>
      </w:r>
      <w:r w:rsidRPr="00B7036E">
        <w:rPr>
          <w:rFonts w:ascii="Arial" w:eastAsia="Times New Roman" w:hAnsi="Arial" w:cs="Arial"/>
          <w:b/>
          <w:bCs/>
          <w:color w:val="000000"/>
          <w:kern w:val="0"/>
          <w:sz w:val="15"/>
          <w:szCs w:val="15"/>
        </w:rPr>
        <w:br/>
      </w:r>
      <w:proofErr w:type="gramStart"/>
      <w:r w:rsidRPr="00B7036E">
        <w:rPr>
          <w:rFonts w:ascii="Arial" w:eastAsia="Times New Roman" w:hAnsi="Arial" w:cs="Arial"/>
          <w:color w:val="000000"/>
          <w:kern w:val="0"/>
          <w:sz w:val="15"/>
          <w:szCs w:val="15"/>
        </w:rPr>
        <w:t>You</w:t>
      </w:r>
      <w:proofErr w:type="gramEnd"/>
      <w:r w:rsidRPr="00B7036E">
        <w:rPr>
          <w:rFonts w:ascii="Arial" w:eastAsia="Times New Roman" w:hAnsi="Arial" w:cs="Arial"/>
          <w:color w:val="000000"/>
          <w:kern w:val="0"/>
          <w:sz w:val="15"/>
          <w:szCs w:val="15"/>
        </w:rPr>
        <w:t xml:space="preserve"> will earn a $50 statement credit on your Card Account after a maintenance fee or timeshare loan payment net purchase posts to your Card Account within the first 90 days of Card Account open date. The statement credit will appear at the close of the first billing statement in which the purchase posted.</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From time to time, we may offer bonuses of Points or other incentives to new Wyndham Rewards Earner</w:t>
      </w:r>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w:t>
      </w:r>
      <w:proofErr w:type="spellStart"/>
      <w:r w:rsidRPr="00B7036E">
        <w:rPr>
          <w:rFonts w:ascii="Arial" w:eastAsia="Times New Roman" w:hAnsi="Arial" w:cs="Arial"/>
          <w:color w:val="000000"/>
          <w:kern w:val="0"/>
          <w:sz w:val="15"/>
          <w:szCs w:val="15"/>
        </w:rPr>
        <w:t>cardmembers</w:t>
      </w:r>
      <w:proofErr w:type="spellEnd"/>
      <w:r w:rsidRPr="00B7036E">
        <w:rPr>
          <w:rFonts w:ascii="Arial" w:eastAsia="Times New Roman" w:hAnsi="Arial" w:cs="Arial"/>
          <w:color w:val="000000"/>
          <w:kern w:val="0"/>
          <w:sz w:val="15"/>
          <w:szCs w:val="15"/>
        </w:rPr>
        <w:t xml:space="preserve"> in connection with an application for a new card account. These bonuses and/or incentives are intended for applicants who are not and have not previously been Wyndham Rewards Earner</w:t>
      </w:r>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w:t>
      </w:r>
      <w:proofErr w:type="spellStart"/>
      <w:r w:rsidRPr="00B7036E">
        <w:rPr>
          <w:rFonts w:ascii="Arial" w:eastAsia="Times New Roman" w:hAnsi="Arial" w:cs="Arial"/>
          <w:color w:val="000000"/>
          <w:kern w:val="0"/>
          <w:sz w:val="15"/>
          <w:szCs w:val="15"/>
        </w:rPr>
        <w:t>cardmembers</w:t>
      </w:r>
      <w:proofErr w:type="spellEnd"/>
      <w:r w:rsidRPr="00B7036E">
        <w:rPr>
          <w:rFonts w:ascii="Arial" w:eastAsia="Times New Roman" w:hAnsi="Arial" w:cs="Arial"/>
          <w:color w:val="000000"/>
          <w:kern w:val="0"/>
          <w:sz w:val="15"/>
          <w:szCs w:val="15"/>
        </w:rPr>
        <w:t>. You understand and agree that you may no longer be eligible for any bonuses and/or incentives in connection with a new Wyndham Rewards Earner</w:t>
      </w:r>
      <w:r w:rsidRPr="00B7036E">
        <w:rPr>
          <w:rFonts w:ascii="Arial" w:eastAsia="Times New Roman" w:hAnsi="Arial" w:cs="Arial"/>
          <w:b/>
          <w:bCs/>
          <w:color w:val="000000"/>
          <w:kern w:val="0"/>
          <w:sz w:val="15"/>
          <w:vertAlign w:val="superscript"/>
        </w:rPr>
        <w:t>®</w:t>
      </w:r>
      <w:r w:rsidRPr="00B7036E">
        <w:rPr>
          <w:rFonts w:ascii="Arial" w:eastAsia="Times New Roman" w:hAnsi="Arial" w:cs="Arial"/>
          <w:color w:val="000000"/>
          <w:kern w:val="0"/>
          <w:sz w:val="15"/>
          <w:szCs w:val="15"/>
        </w:rPr>
        <w:t> Card account after this Card Account is opened. If you receive a bonus or incentive for which you are not eligible due to your status as a current or former Wyndham Rewards Earner</w:t>
      </w:r>
      <w:r w:rsidRPr="00B7036E">
        <w:rPr>
          <w:rFonts w:ascii="Arial" w:eastAsia="Times New Roman" w:hAnsi="Arial" w:cs="Arial"/>
          <w:color w:val="000000"/>
          <w:kern w:val="0"/>
          <w:sz w:val="15"/>
          <w:szCs w:val="15"/>
          <w:vertAlign w:val="superscript"/>
        </w:rPr>
        <w:t>®</w:t>
      </w:r>
      <w:r w:rsidRPr="00B7036E">
        <w:rPr>
          <w:rFonts w:ascii="Arial" w:eastAsia="Times New Roman" w:hAnsi="Arial" w:cs="Arial"/>
          <w:color w:val="000000"/>
          <w:kern w:val="0"/>
          <w:sz w:val="15"/>
          <w:szCs w:val="15"/>
        </w:rPr>
        <w:t>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we may revoke the bonus or incentive, or reduce your Points by the amount of the bonus or incentive, or charge your Card Account for the fair value of the bonus or incentive, in our sole discretion.</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Anniversary Bonus Points</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 xml:space="preserve">You will earn 7,500 bonus Points if you spend $15,000 in Net Purchases (excluding timeshare down payment purchases to Wyndham Vacation Resorts, Inc., Wyndham Resort Development Corporation, Shell Vacations, LLC, and related developer affiliates and partners) each anniversary year. The bonus will be reflected on the billing cycle date of the month after your Card Account anniversary month. Please allow 8-12 weeks for bonus Points to be added into your Program account after the qualifying purchase(s) have posted to your Card Account. Each year, </w:t>
      </w:r>
      <w:proofErr w:type="gramStart"/>
      <w:r w:rsidRPr="00B7036E">
        <w:rPr>
          <w:rFonts w:ascii="Arial" w:eastAsia="Times New Roman" w:hAnsi="Arial" w:cs="Arial"/>
          <w:color w:val="000000"/>
          <w:kern w:val="0"/>
          <w:sz w:val="15"/>
          <w:szCs w:val="15"/>
        </w:rPr>
        <w:t>your spend</w:t>
      </w:r>
      <w:proofErr w:type="gramEnd"/>
      <w:r w:rsidRPr="00B7036E">
        <w:rPr>
          <w:rFonts w:ascii="Arial" w:eastAsia="Times New Roman" w:hAnsi="Arial" w:cs="Arial"/>
          <w:color w:val="000000"/>
          <w:kern w:val="0"/>
          <w:sz w:val="15"/>
          <w:szCs w:val="15"/>
        </w:rPr>
        <w:t xml:space="preserve"> will start over and will go through and include your cycle following your anniversary month. This offer may be canceled at any time without notice.</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This benefit may not be achievable based on the assigned credit line and ability to maintain that credit line.</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Additional Benefits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proofErr w:type="spellStart"/>
      <w:r w:rsidRPr="00B7036E">
        <w:rPr>
          <w:rFonts w:ascii="Arial" w:eastAsia="Times New Roman" w:hAnsi="Arial" w:cs="Arial"/>
          <w:b/>
          <w:bCs/>
          <w:color w:val="000000"/>
          <w:kern w:val="0"/>
          <w:sz w:val="15"/>
        </w:rPr>
        <w:t>Cardmember</w:t>
      </w:r>
      <w:proofErr w:type="spellEnd"/>
      <w:r w:rsidRPr="00B7036E">
        <w:rPr>
          <w:rFonts w:ascii="Arial" w:eastAsia="Times New Roman" w:hAnsi="Arial" w:cs="Arial"/>
          <w:b/>
          <w:bCs/>
          <w:color w:val="000000"/>
          <w:kern w:val="0"/>
          <w:sz w:val="15"/>
        </w:rPr>
        <w:t xml:space="preserve"> Redemption Discount</w:t>
      </w:r>
      <w:r w:rsidRPr="00B7036E">
        <w:rPr>
          <w:rFonts w:ascii="Arial" w:eastAsia="Times New Roman" w:hAnsi="Arial" w:cs="Arial"/>
          <w:b/>
          <w:bCs/>
          <w:color w:val="000000"/>
          <w:kern w:val="0"/>
          <w:sz w:val="15"/>
          <w:szCs w:val="15"/>
        </w:rPr>
        <w:br/>
      </w:r>
      <w:proofErr w:type="gramStart"/>
      <w:r w:rsidRPr="00B7036E">
        <w:rPr>
          <w:rFonts w:ascii="Arial" w:eastAsia="Times New Roman" w:hAnsi="Arial" w:cs="Arial"/>
          <w:color w:val="000000"/>
          <w:kern w:val="0"/>
          <w:sz w:val="15"/>
          <w:szCs w:val="15"/>
        </w:rPr>
        <w:t>You</w:t>
      </w:r>
      <w:proofErr w:type="gramEnd"/>
      <w:r w:rsidRPr="00B7036E">
        <w:rPr>
          <w:rFonts w:ascii="Arial" w:eastAsia="Times New Roman" w:hAnsi="Arial" w:cs="Arial"/>
          <w:color w:val="000000"/>
          <w:kern w:val="0"/>
          <w:sz w:val="15"/>
          <w:szCs w:val="15"/>
        </w:rPr>
        <w:t xml:space="preserve"> will receive a 10% redemption discount when redeeming Wyndham Rewards Points for </w:t>
      </w:r>
      <w:r w:rsidRPr="00B7036E">
        <w:rPr>
          <w:rFonts w:ascii="Arial" w:eastAsia="Times New Roman" w:hAnsi="Arial" w:cs="Arial"/>
          <w:i/>
          <w:iCs/>
          <w:color w:val="000000"/>
          <w:kern w:val="0"/>
          <w:sz w:val="15"/>
        </w:rPr>
        <w:t>Go Free</w:t>
      </w:r>
      <w:r w:rsidRPr="00B7036E">
        <w:rPr>
          <w:rFonts w:ascii="Arial" w:eastAsia="Times New Roman" w:hAnsi="Arial" w:cs="Arial"/>
          <w:color w:val="000000"/>
          <w:kern w:val="0"/>
          <w:sz w:val="15"/>
          <w:szCs w:val="15"/>
        </w:rPr>
        <w:t> award nights. For more information on this redemption discount, visit www.WyndhamRewards.com/terms/cardmembergofree</w:t>
      </w:r>
      <w:r w:rsidRPr="00B7036E">
        <w:rPr>
          <w:rFonts w:ascii="Arial" w:eastAsia="Times New Roman" w:hAnsi="Arial" w:cs="Arial"/>
          <w:b/>
          <w:bCs/>
          <w:color w:val="000000"/>
          <w:kern w:val="0"/>
          <w:sz w:val="15"/>
        </w:rPr>
        <w:t> </w:t>
      </w:r>
      <w:r w:rsidRPr="00B7036E">
        <w:rPr>
          <w:rFonts w:ascii="Arial" w:eastAsia="Times New Roman" w:hAnsi="Arial" w:cs="Arial"/>
          <w:color w:val="000000"/>
          <w:kern w:val="0"/>
          <w:sz w:val="15"/>
          <w:szCs w:val="15"/>
        </w:rPr>
        <w:t>for additional details.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 xml:space="preserve">Wyndham Rewards </w:t>
      </w:r>
      <w:proofErr w:type="spellStart"/>
      <w:r w:rsidRPr="00B7036E">
        <w:rPr>
          <w:rFonts w:ascii="Arial" w:eastAsia="Times New Roman" w:hAnsi="Arial" w:cs="Arial"/>
          <w:b/>
          <w:bCs/>
          <w:color w:val="000000"/>
          <w:kern w:val="0"/>
          <w:sz w:val="15"/>
        </w:rPr>
        <w:t>Cardmember</w:t>
      </w:r>
      <w:proofErr w:type="spellEnd"/>
      <w:r w:rsidRPr="00B7036E">
        <w:rPr>
          <w:rFonts w:ascii="Arial" w:eastAsia="Times New Roman" w:hAnsi="Arial" w:cs="Arial"/>
          <w:b/>
          <w:bCs/>
          <w:color w:val="000000"/>
          <w:kern w:val="0"/>
          <w:sz w:val="15"/>
        </w:rPr>
        <w:t xml:space="preserve"> Rate</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You will receive an additional discount when booking the Wyndham Rewards Member Rate at participating properties; for more information, please visit WyndhamRewards.com/terms/</w:t>
      </w:r>
      <w:proofErr w:type="spellStart"/>
      <w:r w:rsidRPr="00B7036E">
        <w:rPr>
          <w:rFonts w:ascii="Arial" w:eastAsia="Times New Roman" w:hAnsi="Arial" w:cs="Arial"/>
          <w:color w:val="000000"/>
          <w:kern w:val="0"/>
          <w:sz w:val="15"/>
          <w:szCs w:val="15"/>
        </w:rPr>
        <w:t>cardmemberrate</w:t>
      </w:r>
      <w:proofErr w:type="spellEnd"/>
      <w:r w:rsidRPr="00B7036E">
        <w:rPr>
          <w:rFonts w:ascii="Arial" w:eastAsia="Times New Roman" w:hAnsi="Arial" w:cs="Arial"/>
          <w:b/>
          <w:bCs/>
          <w:color w:val="000000"/>
          <w:kern w:val="0"/>
          <w:sz w:val="15"/>
        </w:rPr>
        <w:t> </w:t>
      </w:r>
      <w:r w:rsidRPr="00B7036E">
        <w:rPr>
          <w:rFonts w:ascii="Arial" w:eastAsia="Times New Roman" w:hAnsi="Arial" w:cs="Arial"/>
          <w:color w:val="000000"/>
          <w:kern w:val="0"/>
          <w:sz w:val="15"/>
          <w:szCs w:val="15"/>
        </w:rPr>
        <w:t>for additional details.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Redeeming Points</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Wyndham manages the Program including redemption. You can obtain information regarding the redemption options available by calling 866-370-0728 or online at WyndhamRewards.com.</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Points Forfeiture</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If your Card Account is closed for any of the following reasons, your Points earned during that billing cycle but not yet sent to Wyndham will be forfeited and/or we may request that Wyndham make corresponding adjustments to or invalidate Points earned through use of your Card Account and transferred to your Wyndham Rewards Earner</w:t>
      </w:r>
      <w:r w:rsidRPr="00B7036E">
        <w:rPr>
          <w:rFonts w:ascii="Arial" w:eastAsia="Times New Roman" w:hAnsi="Arial" w:cs="Arial"/>
          <w:b/>
          <w:bCs/>
          <w:color w:val="000000"/>
          <w:kern w:val="0"/>
          <w:sz w:val="15"/>
          <w:vertAlign w:val="superscript"/>
        </w:rPr>
        <w:t>®</w:t>
      </w:r>
      <w:r w:rsidRPr="00B7036E">
        <w:rPr>
          <w:rFonts w:ascii="Arial" w:eastAsia="Times New Roman" w:hAnsi="Arial" w:cs="Arial"/>
          <w:color w:val="000000"/>
          <w:kern w:val="0"/>
          <w:sz w:val="15"/>
          <w:szCs w:val="15"/>
        </w:rPr>
        <w:t> Card Account if/based upon:</w:t>
      </w:r>
    </w:p>
    <w:p w:rsidR="00B7036E" w:rsidRPr="00B7036E" w:rsidRDefault="00B7036E" w:rsidP="00B7036E">
      <w:pPr>
        <w:numPr>
          <w:ilvl w:val="0"/>
          <w:numId w:val="15"/>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or any authorized user(s) on the Card Account engages in any fraudulent or illegal activity through the use of your Card Account.</w:t>
      </w:r>
    </w:p>
    <w:p w:rsidR="00B7036E" w:rsidRPr="00B7036E" w:rsidRDefault="00B7036E" w:rsidP="00B7036E">
      <w:pPr>
        <w:numPr>
          <w:ilvl w:val="0"/>
          <w:numId w:val="15"/>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or any authorized user(s) on the Card Account engage in any activity that is deemed to be abusive or gaming conduct, as determined by us in our sole discretion. Abusive or gaming activity includes, but is not limited to, obtaining or using an account to maximize rewards earned in a manner that is not consistent with typical consumer activity and/or multiple credit card account applications/openings, as determined by us in our sole discretion.</w:t>
      </w:r>
    </w:p>
    <w:p w:rsidR="00B7036E" w:rsidRPr="00B7036E" w:rsidRDefault="00B7036E" w:rsidP="00B7036E">
      <w:pPr>
        <w:numPr>
          <w:ilvl w:val="0"/>
          <w:numId w:val="15"/>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or any authorized user(s) on the Card Account have negative public record information identified</w:t>
      </w:r>
      <w:r w:rsidRPr="00B7036E">
        <w:rPr>
          <w:rFonts w:ascii="Arial" w:eastAsia="Times New Roman" w:hAnsi="Arial" w:cs="Arial"/>
          <w:i/>
          <w:iCs/>
          <w:color w:val="000000"/>
          <w:kern w:val="0"/>
          <w:sz w:val="15"/>
        </w:rPr>
        <w:t>.</w:t>
      </w:r>
    </w:p>
    <w:p w:rsidR="00B7036E" w:rsidRPr="00B7036E" w:rsidRDefault="00B7036E" w:rsidP="00B7036E">
      <w:pPr>
        <w:numPr>
          <w:ilvl w:val="0"/>
          <w:numId w:val="15"/>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Your history of Card Account usage.</w:t>
      </w:r>
    </w:p>
    <w:p w:rsidR="00B7036E" w:rsidRPr="00B7036E" w:rsidRDefault="00B7036E" w:rsidP="00B7036E">
      <w:pPr>
        <w:numPr>
          <w:ilvl w:val="0"/>
          <w:numId w:val="15"/>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Your Card Account is delinquent, as determined by Barclays in its sole discretion.</w:t>
      </w:r>
    </w:p>
    <w:p w:rsidR="00B7036E" w:rsidRPr="00B7036E" w:rsidRDefault="00B7036E" w:rsidP="00B7036E">
      <w:pPr>
        <w:numPr>
          <w:ilvl w:val="0"/>
          <w:numId w:val="15"/>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You or any authorized user(s) on the Card Account violate any of the Card Account Rewards Rules.</w:t>
      </w:r>
    </w:p>
    <w:p w:rsidR="00B7036E" w:rsidRPr="00B7036E" w:rsidRDefault="00B7036E" w:rsidP="00B7036E">
      <w:pPr>
        <w:numPr>
          <w:ilvl w:val="0"/>
          <w:numId w:val="15"/>
        </w:num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 xml:space="preserve">Your Card Account is otherwise in default under your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 with us.</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Responsibility of the Parties/Information Sharing</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 xml:space="preserve">Barclays has no authority regarding the Program and is not responsible for any goods or services offered by Wyndham. You authorize </w:t>
      </w:r>
      <w:r w:rsidRPr="00B7036E">
        <w:rPr>
          <w:rFonts w:ascii="Arial" w:eastAsia="Times New Roman" w:hAnsi="Arial" w:cs="Arial"/>
          <w:color w:val="000000"/>
          <w:kern w:val="0"/>
          <w:sz w:val="15"/>
          <w:szCs w:val="15"/>
        </w:rPr>
        <w:lastRenderedPageBreak/>
        <w:t xml:space="preserve">Barclays to share information about your Card Account with Wyndham, Wyndham Destinations, Inc., and their subsidiaries and affiliates and authorize Wyndham, Wyndham Destinations, Inc., and their subsidiaries and affiliates to share information about your Program membership, to the extent needed to administer the Program and the Card Account. You also agree that Barclays may share Card Account information as set forth in Barclays Privacy Policy. The Privacy Policy for Barclays is available online at BarclaysUS.com. Wyndham, Wyndham Destinations, Inc., and their respective parent companies and subsidiaries are not parties to the </w:t>
      </w:r>
      <w:proofErr w:type="spellStart"/>
      <w:r w:rsidRPr="00B7036E">
        <w:rPr>
          <w:rFonts w:ascii="Arial" w:eastAsia="Times New Roman" w:hAnsi="Arial" w:cs="Arial"/>
          <w:color w:val="000000"/>
          <w:kern w:val="0"/>
          <w:sz w:val="15"/>
          <w:szCs w:val="15"/>
        </w:rPr>
        <w:t>Cardmember</w:t>
      </w:r>
      <w:proofErr w:type="spellEnd"/>
      <w:r w:rsidRPr="00B7036E">
        <w:rPr>
          <w:rFonts w:ascii="Arial" w:eastAsia="Times New Roman" w:hAnsi="Arial" w:cs="Arial"/>
          <w:color w:val="000000"/>
          <w:kern w:val="0"/>
          <w:sz w:val="15"/>
          <w:szCs w:val="15"/>
        </w:rPr>
        <w:t xml:space="preserve"> Agreement between you and Barclays, does not participate in any extension of credit, and have no authority regarding the Card Account and are not responsible for any goods or services offered by Barclays. For details on how Wyndham may use your information, please see the Wyndham Privacy Notice at https://www.wyndhamhotels.com/about-us/privacy-notice-more-info and terms and conditions of the Program at WyndhamRewards.com/terms. For details on how Wyndham Destinations, Inc., may use your information, please view Wyndham Destinations Privacy Notice at https://wyndhamdestinations.com/us/en/privacy-notice.</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Limitation and Release of Liability</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 xml:space="preserve">By participating in the Program through use of the Card Account and accepting and using Points and other benefits earned through use of the Card Account, you (on your behalf and on behalf of any person to whom you give the benefits from the Program through the use of the Card Account) release, discharge and hold harmless Barclays, Wyndham Rewards, Inc., Wyndham Destinations, Inc., and their respective parent companies, subsidiaries, affiliates, agents, administrators, employees, officers, directors, successors and assignees from all claims, damages or liability including, but not limited to, physical injury or death, arising out of participation in the Program through use of the Card Account or travel taken or use of products purchased in connection with the Program through use of the Card Account. Barclays has no liability in case of disagreement over issuance of Points, items received through redemptions, or a </w:t>
      </w:r>
      <w:proofErr w:type="spellStart"/>
      <w:r w:rsidRPr="00B7036E">
        <w:rPr>
          <w:rFonts w:ascii="Arial" w:eastAsia="Times New Roman" w:hAnsi="Arial" w:cs="Arial"/>
          <w:color w:val="000000"/>
          <w:kern w:val="0"/>
          <w:sz w:val="15"/>
          <w:szCs w:val="15"/>
        </w:rPr>
        <w:t>cardmember’s</w:t>
      </w:r>
      <w:proofErr w:type="spellEnd"/>
      <w:r w:rsidRPr="00B7036E">
        <w:rPr>
          <w:rFonts w:ascii="Arial" w:eastAsia="Times New Roman" w:hAnsi="Arial" w:cs="Arial"/>
          <w:color w:val="000000"/>
          <w:kern w:val="0"/>
          <w:sz w:val="15"/>
          <w:szCs w:val="15"/>
        </w:rPr>
        <w:t xml:space="preserve"> right to redeem or possess Points.</w:t>
      </w:r>
      <w:r w:rsidRPr="00B7036E">
        <w:rPr>
          <w:rFonts w:ascii="Arial" w:eastAsia="Times New Roman" w:hAnsi="Arial" w:cs="Arial"/>
          <w:b/>
          <w:bCs/>
          <w:color w:val="000000"/>
          <w:kern w:val="0"/>
          <w:sz w:val="15"/>
        </w:rPr>
        <w:t>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Important General Program Disclosures</w:t>
      </w:r>
      <w:r w:rsidRPr="00B7036E">
        <w:rPr>
          <w:rFonts w:ascii="Arial" w:eastAsia="Times New Roman" w:hAnsi="Arial" w:cs="Arial"/>
          <w:b/>
          <w:bCs/>
          <w:color w:val="000000"/>
          <w:kern w:val="0"/>
          <w:sz w:val="15"/>
          <w:szCs w:val="15"/>
        </w:rPr>
        <w:br/>
      </w:r>
      <w:r w:rsidRPr="00B7036E">
        <w:rPr>
          <w:rFonts w:ascii="Arial" w:eastAsia="Times New Roman" w:hAnsi="Arial" w:cs="Arial"/>
          <w:color w:val="000000"/>
          <w:kern w:val="0"/>
          <w:sz w:val="15"/>
          <w:szCs w:val="15"/>
        </w:rPr>
        <w:t>Barclays reserves the right to correct inaccurate Points values represented on statements, our website and/or our mobile app, at our sole discretion. We may, at our sole discretion, cancel, modify, restrict, or terminate the Card Account Reward Rules or any aspects or features of the Card Account Reward Rules at any time without prior notice. All interpretations of the Card Account Reward Rules shall be in our sole discretion. Other significant terms may apply. All trademarks and service marks belong to their respective owners. Barclays is not responsible for typographical errors or omissions in this document, website, mobile app, or any marketing materials. Points earned through use of the Card Account cannot be combined with other discount or reward programs unless specifically authorized by us or Wyndham.</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b/>
          <w:bCs/>
          <w:color w:val="000000"/>
          <w:kern w:val="0"/>
          <w:sz w:val="15"/>
        </w:rPr>
        <w:t>Customer Service</w:t>
      </w:r>
      <w:r w:rsidRPr="00B7036E">
        <w:rPr>
          <w:rFonts w:ascii="Arial" w:eastAsia="Times New Roman" w:hAnsi="Arial" w:cs="Arial"/>
          <w:b/>
          <w:bCs/>
          <w:color w:val="000000"/>
          <w:kern w:val="0"/>
          <w:sz w:val="15"/>
          <w:szCs w:val="15"/>
        </w:rPr>
        <w:br/>
      </w:r>
      <w:proofErr w:type="gramStart"/>
      <w:r w:rsidRPr="00B7036E">
        <w:rPr>
          <w:rFonts w:ascii="Arial" w:eastAsia="Times New Roman" w:hAnsi="Arial" w:cs="Arial"/>
          <w:color w:val="000000"/>
          <w:kern w:val="0"/>
          <w:sz w:val="15"/>
          <w:szCs w:val="15"/>
        </w:rPr>
        <w:t>If</w:t>
      </w:r>
      <w:proofErr w:type="gramEnd"/>
      <w:r w:rsidRPr="00B7036E">
        <w:rPr>
          <w:rFonts w:ascii="Arial" w:eastAsia="Times New Roman" w:hAnsi="Arial" w:cs="Arial"/>
          <w:color w:val="000000"/>
          <w:kern w:val="0"/>
          <w:sz w:val="15"/>
          <w:szCs w:val="15"/>
        </w:rPr>
        <w:t xml:space="preserve"> you have any questions about your Card Account, please contact the Customer Service phone number on the back of your credit card.     </w:t>
      </w:r>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proofErr w:type="gramStart"/>
      <w:r w:rsidRPr="00B7036E">
        <w:rPr>
          <w:rFonts w:ascii="Arial" w:eastAsia="Times New Roman" w:hAnsi="Arial" w:cs="Arial"/>
          <w:color w:val="000000"/>
          <w:kern w:val="0"/>
          <w:sz w:val="15"/>
          <w:szCs w:val="15"/>
        </w:rPr>
        <w:t>©2021 Barclays Bank Delaware, Member FDIC.</w:t>
      </w:r>
      <w:proofErr w:type="gramEnd"/>
    </w:p>
    <w:p w:rsidR="00B7036E" w:rsidRPr="00B7036E" w:rsidRDefault="00B7036E" w:rsidP="00B7036E">
      <w:pPr>
        <w:spacing w:before="100" w:beforeAutospacing="1" w:after="100" w:afterAutospacing="1" w:line="240" w:lineRule="auto"/>
        <w:rPr>
          <w:rFonts w:ascii="Arial" w:eastAsia="Times New Roman" w:hAnsi="Arial" w:cs="Arial"/>
          <w:color w:val="000000"/>
          <w:kern w:val="0"/>
          <w:sz w:val="15"/>
          <w:szCs w:val="15"/>
        </w:rPr>
      </w:pPr>
      <w:r w:rsidRPr="00B7036E">
        <w:rPr>
          <w:rFonts w:ascii="Arial" w:eastAsia="Times New Roman" w:hAnsi="Arial" w:cs="Arial"/>
          <w:color w:val="000000"/>
          <w:kern w:val="0"/>
          <w:sz w:val="15"/>
          <w:szCs w:val="15"/>
        </w:rPr>
        <w:t>WYD_WY68_092021                                                                                                                            BAR-8209-4</w:t>
      </w:r>
    </w:p>
    <w:p w:rsidR="00CD4F5A" w:rsidRDefault="00B7036E"/>
    <w:sectPr w:rsidR="00CD4F5A" w:rsidSect="000A63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693"/>
    <w:multiLevelType w:val="multilevel"/>
    <w:tmpl w:val="03D2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00F3F"/>
    <w:multiLevelType w:val="multilevel"/>
    <w:tmpl w:val="3A4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B1406"/>
    <w:multiLevelType w:val="multilevel"/>
    <w:tmpl w:val="D632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85DFD"/>
    <w:multiLevelType w:val="multilevel"/>
    <w:tmpl w:val="0162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52524"/>
    <w:multiLevelType w:val="multilevel"/>
    <w:tmpl w:val="075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43A8E"/>
    <w:multiLevelType w:val="multilevel"/>
    <w:tmpl w:val="3C9A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17290"/>
    <w:multiLevelType w:val="multilevel"/>
    <w:tmpl w:val="90D0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932718"/>
    <w:multiLevelType w:val="multilevel"/>
    <w:tmpl w:val="185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0B7221"/>
    <w:multiLevelType w:val="multilevel"/>
    <w:tmpl w:val="50F6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DE6F0E"/>
    <w:multiLevelType w:val="multilevel"/>
    <w:tmpl w:val="9BA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F35B5E"/>
    <w:multiLevelType w:val="multilevel"/>
    <w:tmpl w:val="FA98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B64299"/>
    <w:multiLevelType w:val="multilevel"/>
    <w:tmpl w:val="594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85475F"/>
    <w:multiLevelType w:val="multilevel"/>
    <w:tmpl w:val="96E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F224F9"/>
    <w:multiLevelType w:val="multilevel"/>
    <w:tmpl w:val="5AE0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5B108D"/>
    <w:multiLevelType w:val="multilevel"/>
    <w:tmpl w:val="23A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3"/>
  </w:num>
  <w:num w:numId="4">
    <w:abstractNumId w:val="2"/>
  </w:num>
  <w:num w:numId="5">
    <w:abstractNumId w:val="4"/>
  </w:num>
  <w:num w:numId="6">
    <w:abstractNumId w:val="3"/>
  </w:num>
  <w:num w:numId="7">
    <w:abstractNumId w:val="10"/>
  </w:num>
  <w:num w:numId="8">
    <w:abstractNumId w:val="6"/>
  </w:num>
  <w:num w:numId="9">
    <w:abstractNumId w:val="11"/>
  </w:num>
  <w:num w:numId="10">
    <w:abstractNumId w:val="7"/>
  </w:num>
  <w:num w:numId="11">
    <w:abstractNumId w:val="8"/>
  </w:num>
  <w:num w:numId="12">
    <w:abstractNumId w:val="5"/>
  </w:num>
  <w:num w:numId="13">
    <w:abstractNumId w:val="1"/>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B7036E"/>
    <w:rsid w:val="000A639E"/>
    <w:rsid w:val="002020E9"/>
    <w:rsid w:val="004934E2"/>
    <w:rsid w:val="008F7786"/>
    <w:rsid w:val="00A81225"/>
    <w:rsid w:val="00AB30E8"/>
    <w:rsid w:val="00B703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36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7036E"/>
    <w:rPr>
      <w:b/>
      <w:bCs/>
    </w:rPr>
  </w:style>
  <w:style w:type="paragraph" w:customStyle="1" w:styleId="firstline">
    <w:name w:val="firstline"/>
    <w:basedOn w:val="Normal"/>
    <w:rsid w:val="00B7036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indentlines">
    <w:name w:val="indentlines"/>
    <w:basedOn w:val="Normal"/>
    <w:rsid w:val="00B7036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B7036E"/>
    <w:rPr>
      <w:color w:val="0000FF"/>
      <w:u w:val="single"/>
    </w:rPr>
  </w:style>
  <w:style w:type="character" w:styleId="Emphasis">
    <w:name w:val="Emphasis"/>
    <w:basedOn w:val="DefaultParagraphFont"/>
    <w:uiPriority w:val="20"/>
    <w:qFormat/>
    <w:rsid w:val="00B7036E"/>
    <w:rPr>
      <w:i/>
      <w:iCs/>
    </w:rPr>
  </w:style>
</w:styles>
</file>

<file path=word/webSettings.xml><?xml version="1.0" encoding="utf-8"?>
<w:webSettings xmlns:r="http://schemas.openxmlformats.org/officeDocument/2006/relationships" xmlns:w="http://schemas.openxmlformats.org/wordprocessingml/2006/main">
  <w:divs>
    <w:div w:id="951668067">
      <w:bodyDiv w:val="1"/>
      <w:marLeft w:val="0"/>
      <w:marRight w:val="0"/>
      <w:marTop w:val="0"/>
      <w:marBottom w:val="0"/>
      <w:divBdr>
        <w:top w:val="none" w:sz="0" w:space="0" w:color="auto"/>
        <w:left w:val="none" w:sz="0" w:space="0" w:color="auto"/>
        <w:bottom w:val="none" w:sz="0" w:space="0" w:color="auto"/>
        <w:right w:val="none" w:sz="0" w:space="0" w:color="auto"/>
      </w:divBdr>
      <w:divsChild>
        <w:div w:id="754596768">
          <w:marLeft w:val="0"/>
          <w:marRight w:val="0"/>
          <w:marTop w:val="0"/>
          <w:marBottom w:val="0"/>
          <w:divBdr>
            <w:top w:val="none" w:sz="0" w:space="0" w:color="auto"/>
            <w:left w:val="none" w:sz="0" w:space="0" w:color="auto"/>
            <w:bottom w:val="none" w:sz="0" w:space="0" w:color="auto"/>
            <w:right w:val="none" w:sz="0" w:space="0" w:color="auto"/>
          </w:divBdr>
        </w:div>
        <w:div w:id="1538811006">
          <w:marLeft w:val="0"/>
          <w:marRight w:val="0"/>
          <w:marTop w:val="0"/>
          <w:marBottom w:val="0"/>
          <w:divBdr>
            <w:top w:val="none" w:sz="0" w:space="0" w:color="auto"/>
            <w:left w:val="none" w:sz="0" w:space="0" w:color="auto"/>
            <w:bottom w:val="none" w:sz="0" w:space="0" w:color="auto"/>
            <w:right w:val="none" w:sz="0" w:space="0" w:color="auto"/>
          </w:divBdr>
        </w:div>
        <w:div w:id="1497261834">
          <w:marLeft w:val="0"/>
          <w:marRight w:val="0"/>
          <w:marTop w:val="0"/>
          <w:marBottom w:val="0"/>
          <w:divBdr>
            <w:top w:val="none" w:sz="0" w:space="0" w:color="auto"/>
            <w:left w:val="none" w:sz="0" w:space="0" w:color="auto"/>
            <w:bottom w:val="none" w:sz="0" w:space="0" w:color="auto"/>
            <w:right w:val="none" w:sz="0" w:space="0" w:color="auto"/>
          </w:divBdr>
        </w:div>
        <w:div w:id="159777025">
          <w:marLeft w:val="0"/>
          <w:marRight w:val="0"/>
          <w:marTop w:val="0"/>
          <w:marBottom w:val="0"/>
          <w:divBdr>
            <w:top w:val="none" w:sz="0" w:space="0" w:color="auto"/>
            <w:left w:val="none" w:sz="0" w:space="0" w:color="auto"/>
            <w:bottom w:val="none" w:sz="0" w:space="0" w:color="auto"/>
            <w:right w:val="none" w:sz="0" w:space="0" w:color="auto"/>
          </w:divBdr>
        </w:div>
        <w:div w:id="156205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merfinance.gov/learnm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7275</Words>
  <Characters>41470</Characters>
  <Application>Microsoft Office Word</Application>
  <DocSecurity>0</DocSecurity>
  <Lines>345</Lines>
  <Paragraphs>97</Paragraphs>
  <ScaleCrop>false</ScaleCrop>
  <Company/>
  <LinksUpToDate>false</LinksUpToDate>
  <CharactersWithSpaces>48648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2025-11-07T20:03:00Z</dcterms:created>
  <dcterms:modified xsi:type="dcterms:W3CDTF">2025-11-07T20:04:00Z</dcterms:modified>
</cp:coreProperties>
</file>